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695F" w14:textId="77777777" w:rsidR="00C90F85" w:rsidRPr="00381A7F" w:rsidRDefault="00C90F85" w:rsidP="00520A8B">
      <w:pPr>
        <w:pStyle w:val="BodyText3"/>
        <w:adjustRightInd w:val="0"/>
        <w:rPr>
          <w:rFonts w:ascii="Arial" w:hAnsi="Arial"/>
          <w:b/>
          <w:sz w:val="22"/>
          <w:szCs w:val="22"/>
        </w:rPr>
      </w:pPr>
      <w:r w:rsidRPr="00381A7F">
        <w:rPr>
          <w:rFonts w:ascii="Arial" w:hAnsi="Arial"/>
          <w:b/>
          <w:sz w:val="22"/>
          <w:szCs w:val="22"/>
        </w:rPr>
        <w:t>RECRUITMENT AND RETENTION PLAN TO ENHANCE DIVERSITY</w:t>
      </w:r>
    </w:p>
    <w:p w14:paraId="6E482612" w14:textId="44F523E4" w:rsidR="00381A7F" w:rsidRPr="00381A7F" w:rsidRDefault="00520A8B" w:rsidP="00520A8B">
      <w:pPr>
        <w:pStyle w:val="BodyText3"/>
        <w:adjustRightInd w:val="0"/>
        <w:rPr>
          <w:rFonts w:ascii="Arial" w:hAnsi="Arial"/>
          <w:sz w:val="22"/>
          <w:szCs w:val="22"/>
          <w:lang w:val="en-US"/>
        </w:rPr>
      </w:pPr>
      <w:r w:rsidRPr="00381A7F">
        <w:rPr>
          <w:rFonts w:ascii="Arial" w:hAnsi="Arial"/>
          <w:b/>
          <w:sz w:val="22"/>
          <w:szCs w:val="22"/>
        </w:rPr>
        <w:t>Diversity Efforts for Underrepresented (UR) Groups and Students from Disadvantaged Backgrounds.</w:t>
      </w:r>
      <w:r w:rsidR="00381A7F" w:rsidRPr="00381A7F">
        <w:rPr>
          <w:rFonts w:ascii="Arial" w:hAnsi="Arial"/>
          <w:b/>
          <w:sz w:val="22"/>
          <w:szCs w:val="22"/>
        </w:rPr>
        <w:t xml:space="preserve"> </w:t>
      </w:r>
      <w:r w:rsidR="00381A7F" w:rsidRPr="00381A7F">
        <w:rPr>
          <w:rFonts w:ascii="Arial" w:hAnsi="Arial"/>
          <w:i/>
          <w:sz w:val="22"/>
          <w:szCs w:val="22"/>
        </w:rPr>
        <w:t xml:space="preserve">The University of North Carolina at Chapel Hill is committed to a </w:t>
      </w:r>
      <w:r w:rsidR="00381A7F" w:rsidRPr="00381A7F">
        <w:rPr>
          <w:rFonts w:ascii="Arial" w:hAnsi="Arial"/>
          <w:i/>
          <w:sz w:val="22"/>
          <w:szCs w:val="22"/>
          <w:lang w:val="en-US"/>
        </w:rPr>
        <w:t xml:space="preserve">diverse </w:t>
      </w:r>
      <w:r w:rsidR="00381A7F" w:rsidRPr="00381A7F">
        <w:rPr>
          <w:rFonts w:ascii="Arial" w:hAnsi="Arial"/>
          <w:i/>
          <w:sz w:val="22"/>
          <w:szCs w:val="22"/>
        </w:rPr>
        <w:t>scientific workforce that is representative of the US population and that every student with the motivation for a research career has the opportunity and resources to thrive as a scientist.</w:t>
      </w:r>
      <w:r w:rsidR="00381A7F" w:rsidRPr="00381A7F">
        <w:rPr>
          <w:rFonts w:ascii="Arial" w:hAnsi="Arial"/>
          <w:sz w:val="22"/>
          <w:szCs w:val="22"/>
        </w:rPr>
        <w:t xml:space="preserve"> In her role as Associate Dean for Graduate Education, Dr. Jean Cook serves as the head of </w:t>
      </w:r>
      <w:r w:rsidR="00002A94">
        <w:rPr>
          <w:rFonts w:ascii="Arial" w:hAnsi="Arial"/>
          <w:sz w:val="22"/>
          <w:szCs w:val="22"/>
          <w:lang w:val="en-US"/>
        </w:rPr>
        <w:t>the Office of Graduate Education (OGE)</w:t>
      </w:r>
      <w:r w:rsidR="00381A7F" w:rsidRPr="00381A7F">
        <w:rPr>
          <w:rFonts w:ascii="Arial" w:hAnsi="Arial"/>
          <w:sz w:val="22"/>
          <w:szCs w:val="22"/>
        </w:rPr>
        <w:t>. In addition to overseeing recrui</w:t>
      </w:r>
      <w:r w:rsidR="00002A94">
        <w:rPr>
          <w:rFonts w:ascii="Arial" w:hAnsi="Arial"/>
          <w:sz w:val="22"/>
          <w:szCs w:val="22"/>
        </w:rPr>
        <w:t>tment to the umbrella PhD first-</w:t>
      </w:r>
      <w:r w:rsidR="00381A7F" w:rsidRPr="00381A7F">
        <w:rPr>
          <w:rFonts w:ascii="Arial" w:hAnsi="Arial"/>
          <w:sz w:val="22"/>
          <w:szCs w:val="22"/>
        </w:rPr>
        <w:t>year program, BBSP</w:t>
      </w:r>
      <w:r w:rsidRPr="00381A7F">
        <w:rPr>
          <w:rFonts w:ascii="Arial" w:hAnsi="Arial"/>
          <w:sz w:val="22"/>
          <w:szCs w:val="22"/>
        </w:rPr>
        <w:t>, the OGE is responsible for coordinating recruitment and retention efforts for individuals from underrepresented groups (URs) and students from disadvantaged backgrounds.</w:t>
      </w:r>
      <w:r w:rsidR="00381A7F" w:rsidRPr="00381A7F">
        <w:rPr>
          <w:rFonts w:ascii="Arial" w:hAnsi="Arial"/>
          <w:sz w:val="22"/>
          <w:szCs w:val="22"/>
        </w:rPr>
        <w:t xml:space="preserve"> At the post-undergraduate level, these groups are groups A and B as defined by NIH: Individuals from racial and ethnic groups underrepresented in health-related sciences on a national basis and individuals with disabilities. </w:t>
      </w:r>
      <w:r w:rsidR="00381A7F" w:rsidRPr="00381A7F">
        <w:rPr>
          <w:rFonts w:ascii="Arial" w:hAnsi="Arial"/>
          <w:sz w:val="22"/>
          <w:szCs w:val="22"/>
          <w:lang w:val="en-US"/>
        </w:rPr>
        <w:t>(</w:t>
      </w:r>
      <w:r w:rsidR="00381A7F" w:rsidRPr="00381A7F">
        <w:rPr>
          <w:rFonts w:ascii="Arial" w:hAnsi="Arial"/>
          <w:sz w:val="22"/>
          <w:szCs w:val="22"/>
        </w:rPr>
        <w:t>Per NIH policy, individuals from disadvantaged backgrounds are not target</w:t>
      </w:r>
      <w:r w:rsidR="00ED6108">
        <w:rPr>
          <w:rFonts w:ascii="Arial" w:hAnsi="Arial"/>
          <w:sz w:val="22"/>
          <w:szCs w:val="22"/>
        </w:rPr>
        <w:t>ed</w:t>
      </w:r>
      <w:r w:rsidR="00381A7F" w:rsidRPr="00381A7F">
        <w:rPr>
          <w:rFonts w:ascii="Arial" w:hAnsi="Arial"/>
          <w:sz w:val="22"/>
          <w:szCs w:val="22"/>
        </w:rPr>
        <w:t xml:space="preserve"> for funding, though the OGE emphasizes such groups in our science outreach efforts and in our partnerships with undergraduate science training programs</w:t>
      </w:r>
      <w:r w:rsidR="00381A7F" w:rsidRPr="00381A7F">
        <w:rPr>
          <w:rFonts w:ascii="Arial" w:hAnsi="Arial"/>
          <w:sz w:val="22"/>
          <w:szCs w:val="22"/>
          <w:lang w:val="en-US"/>
        </w:rPr>
        <w:t>.)</w:t>
      </w:r>
    </w:p>
    <w:p w14:paraId="60E96218" w14:textId="2730C02B" w:rsidR="00381A7F" w:rsidRPr="00381A7F" w:rsidRDefault="00381A7F" w:rsidP="00381A7F">
      <w:pPr>
        <w:spacing w:after="120"/>
      </w:pPr>
      <w:r w:rsidRPr="00381A7F">
        <w:rPr>
          <w:lang w:val="x-none" w:eastAsia="x-none"/>
        </w:rPr>
        <w:t>Dr. Ashalla Freeman</w:t>
      </w:r>
      <w:r w:rsidR="003765FD">
        <w:rPr>
          <w:lang w:eastAsia="x-none"/>
        </w:rPr>
        <w:t xml:space="preserve"> (</w:t>
      </w:r>
      <w:r w:rsidRPr="00381A7F">
        <w:rPr>
          <w:lang w:val="x-none" w:eastAsia="x-none"/>
        </w:rPr>
        <w:t xml:space="preserve">full-time Director of Diversity Initiatives and the </w:t>
      </w:r>
      <w:r w:rsidR="00FD7D1D">
        <w:rPr>
          <w:lang w:eastAsia="x-none"/>
        </w:rPr>
        <w:t>Director</w:t>
      </w:r>
      <w:r w:rsidRPr="00381A7F">
        <w:rPr>
          <w:lang w:val="x-none" w:eastAsia="x-none"/>
        </w:rPr>
        <w:t xml:space="preserve"> </w:t>
      </w:r>
      <w:r w:rsidR="00FD7D1D">
        <w:rPr>
          <w:lang w:eastAsia="x-none"/>
        </w:rPr>
        <w:t>of</w:t>
      </w:r>
      <w:r w:rsidRPr="00381A7F">
        <w:rPr>
          <w:lang w:val="x-none" w:eastAsia="x-none"/>
        </w:rPr>
        <w:t xml:space="preserve"> the UNC Initiative for Maximizing Student </w:t>
      </w:r>
      <w:r w:rsidR="00544990">
        <w:rPr>
          <w:lang w:eastAsia="x-none"/>
        </w:rPr>
        <w:t>Development</w:t>
      </w:r>
      <w:r w:rsidRPr="00381A7F">
        <w:rPr>
          <w:lang w:val="x-none" w:eastAsia="x-none"/>
        </w:rPr>
        <w:t xml:space="preserve"> (IMSD)</w:t>
      </w:r>
      <w:r w:rsidR="003765FD">
        <w:rPr>
          <w:lang w:eastAsia="x-none"/>
        </w:rPr>
        <w:t xml:space="preserve">) and </w:t>
      </w:r>
      <w:r w:rsidR="00002A94">
        <w:rPr>
          <w:lang w:eastAsia="x-none"/>
        </w:rPr>
        <w:t>Dr. Debra Ragland</w:t>
      </w:r>
      <w:r w:rsidR="00D74031">
        <w:rPr>
          <w:lang w:eastAsia="x-none"/>
        </w:rPr>
        <w:t xml:space="preserve"> </w:t>
      </w:r>
      <w:r w:rsidR="00002A94">
        <w:rPr>
          <w:lang w:eastAsia="x-none"/>
        </w:rPr>
        <w:t>(</w:t>
      </w:r>
      <w:r w:rsidR="00D74031">
        <w:rPr>
          <w:lang w:eastAsia="x-none"/>
        </w:rPr>
        <w:t>Assistant Director for Diversity Affairs</w:t>
      </w:r>
      <w:r w:rsidR="003765FD">
        <w:rPr>
          <w:lang w:eastAsia="x-none"/>
        </w:rPr>
        <w:t xml:space="preserve"> (Co-Director of UNC IMSD and </w:t>
      </w:r>
      <w:r w:rsidR="003765FD" w:rsidRPr="00381A7F">
        <w:rPr>
          <w:lang w:val="x-none" w:eastAsia="x-none"/>
        </w:rPr>
        <w:t>Director of Academic Excellence</w:t>
      </w:r>
      <w:r w:rsidR="003765FD">
        <w:rPr>
          <w:lang w:eastAsia="x-none"/>
        </w:rPr>
        <w:t xml:space="preserve"> and </w:t>
      </w:r>
      <w:r w:rsidR="003765FD" w:rsidRPr="00381A7F">
        <w:rPr>
          <w:lang w:val="x-none" w:eastAsia="x-none"/>
        </w:rPr>
        <w:t>summer undergraduate research programs</w:t>
      </w:r>
      <w:r w:rsidR="003765FD">
        <w:rPr>
          <w:lang w:eastAsia="x-none"/>
        </w:rPr>
        <w:t>)</w:t>
      </w:r>
      <w:r w:rsidR="00002A94">
        <w:rPr>
          <w:lang w:eastAsia="x-none"/>
        </w:rPr>
        <w:t>)</w:t>
      </w:r>
      <w:r w:rsidR="003765FD" w:rsidRPr="00381A7F">
        <w:rPr>
          <w:lang w:val="x-none" w:eastAsia="x-none"/>
        </w:rPr>
        <w:t xml:space="preserve"> </w:t>
      </w:r>
      <w:r w:rsidRPr="00381A7F">
        <w:rPr>
          <w:lang w:val="x-none" w:eastAsia="x-none"/>
        </w:rPr>
        <w:t xml:space="preserve">provide leadership for the recruitment and support of UR students in the biomedical and biological sciences. </w:t>
      </w:r>
      <w:r w:rsidR="003765FD">
        <w:rPr>
          <w:lang w:eastAsia="x-none"/>
        </w:rPr>
        <w:t>They are</w:t>
      </w:r>
      <w:r w:rsidRPr="00381A7F">
        <w:rPr>
          <w:lang w:val="x-none" w:eastAsia="x-none"/>
        </w:rPr>
        <w:t xml:space="preserve"> joined by Dr. Joshua Hall, Director of UNC’s post-baccalaureate program, and OGE staff in both student recruitment and retention activitie</w:t>
      </w:r>
      <w:r w:rsidR="00002A94">
        <w:rPr>
          <w:lang w:val="x-none" w:eastAsia="x-none"/>
        </w:rPr>
        <w:t>s.</w:t>
      </w:r>
      <w:r w:rsidR="00002A94">
        <w:rPr>
          <w:lang w:eastAsia="x-none"/>
        </w:rPr>
        <w:t xml:space="preserve"> </w:t>
      </w:r>
      <w:r w:rsidRPr="00381A7F">
        <w:rPr>
          <w:lang w:val="x-none" w:eastAsia="x-none"/>
        </w:rPr>
        <w:t>Their efforts are supported by generous institutional resources from the School of Medicine, the UNC Lineberger Comprehensive Cancer Center, and other UNC schools that participate in the BBSP program (the College of Arts and Sciences, the Eshelman School of Pharmacy, and the UNC School of Dentistry)</w:t>
      </w:r>
      <w:r w:rsidR="00ED6108">
        <w:rPr>
          <w:lang w:val="x-none" w:eastAsia="x-none"/>
        </w:rPr>
        <w:t>, plus NIH educational grants</w:t>
      </w:r>
      <w:r w:rsidRPr="00381A7F">
        <w:rPr>
          <w:lang w:eastAsia="x-none"/>
        </w:rPr>
        <w:t>.</w:t>
      </w:r>
      <w:r w:rsidRPr="00381A7F" w:rsidDel="00381A7F">
        <w:t xml:space="preserve"> </w:t>
      </w:r>
    </w:p>
    <w:p w14:paraId="74651FBD" w14:textId="39A956D8" w:rsidR="00381A7F" w:rsidRDefault="00381A7F" w:rsidP="00381A7F">
      <w:pPr>
        <w:spacing w:after="120"/>
      </w:pPr>
      <w:r w:rsidRPr="00381A7F">
        <w:rPr>
          <w:b/>
        </w:rPr>
        <w:t>History of Achievements.</w:t>
      </w:r>
      <w:r w:rsidRPr="00002A94">
        <w:t xml:space="preserve"> </w:t>
      </w:r>
      <w:r w:rsidRPr="00381A7F">
        <w:t xml:space="preserve">The creation of the umbrella BBSP program in 2008 coincided with the creation of the </w:t>
      </w:r>
      <w:r w:rsidR="00002A94">
        <w:t>OGE</w:t>
      </w:r>
      <w:r w:rsidRPr="00381A7F">
        <w:t xml:space="preserve"> and has greatly advanced diversity goals in the life sciences at UNC. After </w:t>
      </w:r>
      <w:r w:rsidR="00002A94">
        <w:t xml:space="preserve">a </w:t>
      </w:r>
      <w:r w:rsidRPr="00381A7F">
        <w:t>concerted OGE effort, t</w:t>
      </w:r>
      <w:r w:rsidR="00002A94">
        <w:t>he percentage of training grant-</w:t>
      </w:r>
      <w:r w:rsidRPr="00381A7F">
        <w:t xml:space="preserve">eligible UR students entering graduate school in the biomedical sciences at UNC increased dramatically compared to typical years pre-BBSP. Before 2008, the individual program efforts sustained much smaller numbers of UR students (~6%), whereas the combined efforts have led to substantial increases (see table below). </w:t>
      </w:r>
      <w:r w:rsidRPr="00381A7F">
        <w:rPr>
          <w:i/>
        </w:rPr>
        <w:t>Notably, the 2015</w:t>
      </w:r>
      <w:r w:rsidR="00890988">
        <w:rPr>
          <w:i/>
        </w:rPr>
        <w:t xml:space="preserve"> </w:t>
      </w:r>
      <w:r w:rsidR="00AE64DD">
        <w:rPr>
          <w:i/>
        </w:rPr>
        <w:t>thru 2018</w:t>
      </w:r>
      <w:r w:rsidRPr="00381A7F">
        <w:rPr>
          <w:i/>
        </w:rPr>
        <w:t xml:space="preserve"> BBSP class</w:t>
      </w:r>
      <w:r w:rsidR="00890988">
        <w:rPr>
          <w:i/>
        </w:rPr>
        <w:t>es</w:t>
      </w:r>
      <w:r w:rsidRPr="00381A7F">
        <w:rPr>
          <w:i/>
        </w:rPr>
        <w:t xml:space="preserve"> </w:t>
      </w:r>
      <w:r w:rsidR="00890988">
        <w:rPr>
          <w:i/>
        </w:rPr>
        <w:t>are</w:t>
      </w:r>
      <w:r w:rsidRPr="00381A7F">
        <w:rPr>
          <w:i/>
        </w:rPr>
        <w:t xml:space="preserve"> </w:t>
      </w:r>
      <w:r w:rsidR="00890988">
        <w:rPr>
          <w:i/>
        </w:rPr>
        <w:t>&gt;</w:t>
      </w:r>
      <w:r w:rsidRPr="00381A7F">
        <w:rPr>
          <w:i/>
        </w:rPr>
        <w:t>2</w:t>
      </w:r>
      <w:r w:rsidR="00890988">
        <w:rPr>
          <w:i/>
        </w:rPr>
        <w:t>1</w:t>
      </w:r>
      <w:r w:rsidRPr="00381A7F">
        <w:rPr>
          <w:i/>
        </w:rPr>
        <w:t xml:space="preserve">% UR students, and this number </w:t>
      </w:r>
      <w:r w:rsidR="00820B8F">
        <w:rPr>
          <w:i/>
        </w:rPr>
        <w:t xml:space="preserve">meets or </w:t>
      </w:r>
      <w:r w:rsidRPr="00381A7F">
        <w:rPr>
          <w:i/>
        </w:rPr>
        <w:t>exceeds the percentage</w:t>
      </w:r>
      <w:r w:rsidR="00890988">
        <w:rPr>
          <w:i/>
        </w:rPr>
        <w:t>s</w:t>
      </w:r>
      <w:r w:rsidRPr="00381A7F">
        <w:rPr>
          <w:i/>
        </w:rPr>
        <w:t xml:space="preserve"> of URs in the BBSP applicant pool for th</w:t>
      </w:r>
      <w:r w:rsidR="00890988">
        <w:rPr>
          <w:i/>
        </w:rPr>
        <w:t xml:space="preserve">ese </w:t>
      </w:r>
      <w:r w:rsidRPr="00381A7F">
        <w:rPr>
          <w:i/>
        </w:rPr>
        <w:t>year</w:t>
      </w:r>
      <w:r w:rsidR="00890988">
        <w:rPr>
          <w:i/>
        </w:rPr>
        <w:t>s</w:t>
      </w:r>
      <w:r w:rsidRPr="00381A7F">
        <w:rPr>
          <w:i/>
        </w:rPr>
        <w:t>.</w:t>
      </w:r>
      <w:r w:rsidRPr="00381A7F">
        <w:t xml:space="preserve"> </w:t>
      </w:r>
    </w:p>
    <w:p w14:paraId="38E895A7" w14:textId="1E6B497C" w:rsidR="00234D5F" w:rsidRDefault="00234D5F" w:rsidP="00381A7F">
      <w:pPr>
        <w:autoSpaceDE w:val="0"/>
        <w:autoSpaceDN w:val="0"/>
        <w:adjustRightInd w:val="0"/>
      </w:pPr>
    </w:p>
    <w:tbl>
      <w:tblPr>
        <w:tblStyle w:val="TableGrid"/>
        <w:tblW w:w="0" w:type="auto"/>
        <w:tblLook w:val="04A0" w:firstRow="1" w:lastRow="0" w:firstColumn="1" w:lastColumn="0" w:noHBand="0" w:noVBand="1"/>
      </w:tblPr>
      <w:tblGrid>
        <w:gridCol w:w="2347"/>
        <w:gridCol w:w="2148"/>
      </w:tblGrid>
      <w:tr w:rsidR="00002A94" w:rsidRPr="00002A94" w14:paraId="49B76BDD" w14:textId="77777777" w:rsidTr="00BF498A">
        <w:tc>
          <w:tcPr>
            <w:tcW w:w="4495" w:type="dxa"/>
            <w:gridSpan w:val="2"/>
            <w:shd w:val="clear" w:color="auto" w:fill="D9D9D9" w:themeFill="background1" w:themeFillShade="D9"/>
          </w:tcPr>
          <w:p w14:paraId="4B850902" w14:textId="225EB4C4" w:rsidR="00002A94" w:rsidRPr="00002A94" w:rsidRDefault="00002A94" w:rsidP="00381A7F">
            <w:pPr>
              <w:autoSpaceDE w:val="0"/>
              <w:autoSpaceDN w:val="0"/>
              <w:adjustRightInd w:val="0"/>
              <w:rPr>
                <w:rFonts w:ascii="Arial" w:hAnsi="Arial" w:cs="Arial"/>
                <w:sz w:val="18"/>
                <w:szCs w:val="18"/>
              </w:rPr>
            </w:pPr>
            <w:r w:rsidRPr="00002A94">
              <w:rPr>
                <w:rFonts w:ascii="Arial" w:hAnsi="Arial" w:cs="Arial"/>
                <w:b/>
                <w:sz w:val="18"/>
                <w:szCs w:val="18"/>
              </w:rPr>
              <w:t>Underrepresented Student Recruitment Summary</w:t>
            </w:r>
          </w:p>
        </w:tc>
      </w:tr>
      <w:tr w:rsidR="00FF68CE" w:rsidRPr="00002A94" w14:paraId="147FDE3F" w14:textId="77777777" w:rsidTr="00BF498A">
        <w:tc>
          <w:tcPr>
            <w:tcW w:w="2347" w:type="dxa"/>
            <w:shd w:val="clear" w:color="auto" w:fill="D9D9D9" w:themeFill="background1" w:themeFillShade="D9"/>
          </w:tcPr>
          <w:p w14:paraId="1CB1EAD5" w14:textId="3BF75243" w:rsidR="00002A94" w:rsidRPr="00002A94" w:rsidRDefault="00002A94" w:rsidP="00381A7F">
            <w:pPr>
              <w:autoSpaceDE w:val="0"/>
              <w:autoSpaceDN w:val="0"/>
              <w:adjustRightInd w:val="0"/>
              <w:rPr>
                <w:rFonts w:ascii="Arial" w:hAnsi="Arial" w:cs="Arial"/>
                <w:sz w:val="18"/>
                <w:szCs w:val="18"/>
              </w:rPr>
            </w:pPr>
            <w:r w:rsidRPr="00002A94">
              <w:rPr>
                <w:rFonts w:ascii="Arial" w:hAnsi="Arial" w:cs="Arial"/>
                <w:sz w:val="18"/>
                <w:szCs w:val="18"/>
              </w:rPr>
              <w:t>Recruiting Year</w:t>
            </w:r>
          </w:p>
        </w:tc>
        <w:tc>
          <w:tcPr>
            <w:tcW w:w="2148" w:type="dxa"/>
          </w:tcPr>
          <w:p w14:paraId="708AB648" w14:textId="2BCA561E"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Number of UR students / total students (% of Class)</w:t>
            </w:r>
          </w:p>
        </w:tc>
      </w:tr>
      <w:tr w:rsidR="00FF68CE" w:rsidRPr="00002A94" w14:paraId="40CA5A06" w14:textId="77777777" w:rsidTr="00BF498A">
        <w:tc>
          <w:tcPr>
            <w:tcW w:w="2347" w:type="dxa"/>
            <w:shd w:val="clear" w:color="auto" w:fill="D9D9D9" w:themeFill="background1" w:themeFillShade="D9"/>
          </w:tcPr>
          <w:p w14:paraId="087DD48E" w14:textId="3EDB2E71"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2006</w:t>
            </w:r>
          </w:p>
        </w:tc>
        <w:tc>
          <w:tcPr>
            <w:tcW w:w="2148" w:type="dxa"/>
          </w:tcPr>
          <w:p w14:paraId="5E5011DE" w14:textId="20A00389"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6 (~6%)</w:t>
            </w:r>
          </w:p>
        </w:tc>
      </w:tr>
      <w:tr w:rsidR="00FF68CE" w:rsidRPr="00002A94" w14:paraId="38F62461" w14:textId="77777777" w:rsidTr="00BF498A">
        <w:tc>
          <w:tcPr>
            <w:tcW w:w="2347" w:type="dxa"/>
            <w:shd w:val="clear" w:color="auto" w:fill="D9D9D9" w:themeFill="background1" w:themeFillShade="D9"/>
          </w:tcPr>
          <w:p w14:paraId="2DEC72FF" w14:textId="1CDC1267"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2007</w:t>
            </w:r>
          </w:p>
        </w:tc>
        <w:tc>
          <w:tcPr>
            <w:tcW w:w="2148" w:type="dxa"/>
          </w:tcPr>
          <w:p w14:paraId="630459CE" w14:textId="5C70F156"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10 (12%)</w:t>
            </w:r>
          </w:p>
        </w:tc>
      </w:tr>
      <w:tr w:rsidR="00FF68CE" w:rsidRPr="00002A94" w14:paraId="7694956A" w14:textId="77777777" w:rsidTr="00BF498A">
        <w:tc>
          <w:tcPr>
            <w:tcW w:w="2347" w:type="dxa"/>
            <w:shd w:val="clear" w:color="auto" w:fill="D9D9D9" w:themeFill="background1" w:themeFillShade="D9"/>
          </w:tcPr>
          <w:p w14:paraId="55DE7055" w14:textId="640DB9A3"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2008</w:t>
            </w:r>
            <w:r w:rsidR="00BF498A">
              <w:rPr>
                <w:rFonts w:ascii="Arial" w:hAnsi="Arial" w:cs="Arial"/>
                <w:sz w:val="18"/>
                <w:szCs w:val="18"/>
              </w:rPr>
              <w:t>*</w:t>
            </w:r>
          </w:p>
        </w:tc>
        <w:tc>
          <w:tcPr>
            <w:tcW w:w="2148" w:type="dxa"/>
          </w:tcPr>
          <w:p w14:paraId="51885793" w14:textId="50CE179A"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23 / 121 (19%)</w:t>
            </w:r>
          </w:p>
        </w:tc>
      </w:tr>
      <w:tr w:rsidR="00FF68CE" w:rsidRPr="00002A94" w14:paraId="4B6D1CAE" w14:textId="77777777" w:rsidTr="00BF498A">
        <w:tc>
          <w:tcPr>
            <w:tcW w:w="2347" w:type="dxa"/>
            <w:shd w:val="clear" w:color="auto" w:fill="D9D9D9" w:themeFill="background1" w:themeFillShade="D9"/>
          </w:tcPr>
          <w:p w14:paraId="3D34FCBE" w14:textId="638A1137"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2009</w:t>
            </w:r>
          </w:p>
        </w:tc>
        <w:tc>
          <w:tcPr>
            <w:tcW w:w="2148" w:type="dxa"/>
          </w:tcPr>
          <w:p w14:paraId="34D0DAF8" w14:textId="599834FE"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19 / 84 (23%)</w:t>
            </w:r>
          </w:p>
        </w:tc>
      </w:tr>
      <w:tr w:rsidR="00FF68CE" w:rsidRPr="00002A94" w14:paraId="71F96CEF" w14:textId="77777777" w:rsidTr="00BF498A">
        <w:tc>
          <w:tcPr>
            <w:tcW w:w="2347" w:type="dxa"/>
            <w:shd w:val="clear" w:color="auto" w:fill="D9D9D9" w:themeFill="background1" w:themeFillShade="D9"/>
          </w:tcPr>
          <w:p w14:paraId="33F22F14" w14:textId="1835E393"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2010</w:t>
            </w:r>
          </w:p>
        </w:tc>
        <w:tc>
          <w:tcPr>
            <w:tcW w:w="2148" w:type="dxa"/>
          </w:tcPr>
          <w:p w14:paraId="6D04F35F" w14:textId="2B413B4F"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17 / 76 (23%)</w:t>
            </w:r>
          </w:p>
        </w:tc>
      </w:tr>
      <w:tr w:rsidR="00FF68CE" w:rsidRPr="00002A94" w14:paraId="2672D24C" w14:textId="77777777" w:rsidTr="00BF498A">
        <w:tc>
          <w:tcPr>
            <w:tcW w:w="2347" w:type="dxa"/>
            <w:shd w:val="clear" w:color="auto" w:fill="D9D9D9" w:themeFill="background1" w:themeFillShade="D9"/>
          </w:tcPr>
          <w:p w14:paraId="08D4FC8C" w14:textId="02DE3B15"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2011</w:t>
            </w:r>
          </w:p>
        </w:tc>
        <w:tc>
          <w:tcPr>
            <w:tcW w:w="2148" w:type="dxa"/>
          </w:tcPr>
          <w:p w14:paraId="6DE933BD" w14:textId="3DA873AC"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11 / 83 (13%)</w:t>
            </w:r>
          </w:p>
        </w:tc>
      </w:tr>
      <w:tr w:rsidR="00FF68CE" w:rsidRPr="00002A94" w14:paraId="4D385438" w14:textId="77777777" w:rsidTr="00BF498A">
        <w:tc>
          <w:tcPr>
            <w:tcW w:w="2347" w:type="dxa"/>
            <w:shd w:val="clear" w:color="auto" w:fill="D9D9D9" w:themeFill="background1" w:themeFillShade="D9"/>
          </w:tcPr>
          <w:p w14:paraId="1DFA722C" w14:textId="458EE161"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2012</w:t>
            </w:r>
          </w:p>
        </w:tc>
        <w:tc>
          <w:tcPr>
            <w:tcW w:w="2148" w:type="dxa"/>
          </w:tcPr>
          <w:p w14:paraId="2BFABD2E" w14:textId="41766758"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12 / 85 (14%)</w:t>
            </w:r>
          </w:p>
        </w:tc>
      </w:tr>
      <w:tr w:rsidR="00FF68CE" w:rsidRPr="00002A94" w14:paraId="0B7B950B" w14:textId="77777777" w:rsidTr="00BF498A">
        <w:tc>
          <w:tcPr>
            <w:tcW w:w="2347" w:type="dxa"/>
            <w:shd w:val="clear" w:color="auto" w:fill="D9D9D9" w:themeFill="background1" w:themeFillShade="D9"/>
          </w:tcPr>
          <w:p w14:paraId="0503BF44" w14:textId="3BB36A1E"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2013</w:t>
            </w:r>
          </w:p>
        </w:tc>
        <w:tc>
          <w:tcPr>
            <w:tcW w:w="2148" w:type="dxa"/>
          </w:tcPr>
          <w:p w14:paraId="7BCD3BC9" w14:textId="4BDE33A9"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16 / 90 (18%)</w:t>
            </w:r>
          </w:p>
        </w:tc>
      </w:tr>
      <w:tr w:rsidR="00FF68CE" w:rsidRPr="00002A94" w14:paraId="045BE0F3" w14:textId="77777777" w:rsidTr="00BF498A">
        <w:tc>
          <w:tcPr>
            <w:tcW w:w="2347" w:type="dxa"/>
            <w:shd w:val="clear" w:color="auto" w:fill="D9D9D9" w:themeFill="background1" w:themeFillShade="D9"/>
          </w:tcPr>
          <w:p w14:paraId="1F1186C3" w14:textId="53E3F75B"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2014</w:t>
            </w:r>
            <w:r w:rsidR="00BF498A">
              <w:rPr>
                <w:rFonts w:ascii="Arial" w:hAnsi="Arial" w:cs="Arial"/>
                <w:sz w:val="18"/>
                <w:szCs w:val="18"/>
              </w:rPr>
              <w:t>**</w:t>
            </w:r>
          </w:p>
        </w:tc>
        <w:tc>
          <w:tcPr>
            <w:tcW w:w="2148" w:type="dxa"/>
          </w:tcPr>
          <w:p w14:paraId="7E6BB06A" w14:textId="117B9391"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7 / 64 (11%)</w:t>
            </w:r>
          </w:p>
        </w:tc>
      </w:tr>
      <w:tr w:rsidR="00FF68CE" w:rsidRPr="00002A94" w14:paraId="3D827992" w14:textId="77777777" w:rsidTr="00BF498A">
        <w:tc>
          <w:tcPr>
            <w:tcW w:w="2347" w:type="dxa"/>
            <w:shd w:val="clear" w:color="auto" w:fill="D9D9D9" w:themeFill="background1" w:themeFillShade="D9"/>
          </w:tcPr>
          <w:p w14:paraId="53D1894B" w14:textId="4E5014E3"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2015</w:t>
            </w:r>
          </w:p>
        </w:tc>
        <w:tc>
          <w:tcPr>
            <w:tcW w:w="2148" w:type="dxa"/>
          </w:tcPr>
          <w:p w14:paraId="288CD2DF" w14:textId="6CC1E59C"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20 / 78 (26%)</w:t>
            </w:r>
          </w:p>
        </w:tc>
      </w:tr>
      <w:tr w:rsidR="00FF68CE" w:rsidRPr="00002A94" w14:paraId="56595C45" w14:textId="77777777" w:rsidTr="00BF498A">
        <w:tc>
          <w:tcPr>
            <w:tcW w:w="2347" w:type="dxa"/>
            <w:shd w:val="clear" w:color="auto" w:fill="D9D9D9" w:themeFill="background1" w:themeFillShade="D9"/>
          </w:tcPr>
          <w:p w14:paraId="517EB798" w14:textId="48245A70"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2016</w:t>
            </w:r>
          </w:p>
        </w:tc>
        <w:tc>
          <w:tcPr>
            <w:tcW w:w="2148" w:type="dxa"/>
          </w:tcPr>
          <w:p w14:paraId="05562F18" w14:textId="5B6DA55A"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17 / 79 (22%)</w:t>
            </w:r>
          </w:p>
        </w:tc>
      </w:tr>
      <w:tr w:rsidR="00FF68CE" w:rsidRPr="00002A94" w14:paraId="25E0EFAC" w14:textId="77777777" w:rsidTr="00BF498A">
        <w:tc>
          <w:tcPr>
            <w:tcW w:w="2347" w:type="dxa"/>
            <w:shd w:val="clear" w:color="auto" w:fill="D9D9D9" w:themeFill="background1" w:themeFillShade="D9"/>
          </w:tcPr>
          <w:p w14:paraId="3D35B7E1" w14:textId="28614AA6"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2017</w:t>
            </w:r>
          </w:p>
        </w:tc>
        <w:tc>
          <w:tcPr>
            <w:tcW w:w="2148" w:type="dxa"/>
          </w:tcPr>
          <w:p w14:paraId="50DC1365" w14:textId="0C10D0D5"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23 / 91 (25%)</w:t>
            </w:r>
          </w:p>
        </w:tc>
      </w:tr>
      <w:tr w:rsidR="00FF68CE" w:rsidRPr="00002A94" w14:paraId="44B6AE1B" w14:textId="77777777" w:rsidTr="00BF498A">
        <w:tc>
          <w:tcPr>
            <w:tcW w:w="2347" w:type="dxa"/>
            <w:shd w:val="clear" w:color="auto" w:fill="D9D9D9" w:themeFill="background1" w:themeFillShade="D9"/>
          </w:tcPr>
          <w:p w14:paraId="41575521" w14:textId="2D0827B3"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2018</w:t>
            </w:r>
          </w:p>
        </w:tc>
        <w:tc>
          <w:tcPr>
            <w:tcW w:w="2148" w:type="dxa"/>
          </w:tcPr>
          <w:p w14:paraId="4E699CF1" w14:textId="75AEDE04"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25 / 78 (32%)</w:t>
            </w:r>
          </w:p>
        </w:tc>
      </w:tr>
      <w:tr w:rsidR="00FF68CE" w:rsidRPr="00002A94" w14:paraId="1071598D" w14:textId="77777777" w:rsidTr="00BF498A">
        <w:tc>
          <w:tcPr>
            <w:tcW w:w="2347" w:type="dxa"/>
            <w:shd w:val="clear" w:color="auto" w:fill="D9D9D9" w:themeFill="background1" w:themeFillShade="D9"/>
          </w:tcPr>
          <w:p w14:paraId="2F421282" w14:textId="7E037303" w:rsidR="00002A94" w:rsidRPr="00002A94" w:rsidRDefault="00FF68CE" w:rsidP="00381A7F">
            <w:pPr>
              <w:autoSpaceDE w:val="0"/>
              <w:autoSpaceDN w:val="0"/>
              <w:adjustRightInd w:val="0"/>
              <w:rPr>
                <w:rFonts w:ascii="Arial" w:hAnsi="Arial" w:cs="Arial"/>
                <w:sz w:val="18"/>
                <w:szCs w:val="18"/>
              </w:rPr>
            </w:pPr>
            <w:r>
              <w:rPr>
                <w:rFonts w:ascii="Arial" w:hAnsi="Arial" w:cs="Arial"/>
                <w:sz w:val="18"/>
                <w:szCs w:val="18"/>
              </w:rPr>
              <w:t>2019</w:t>
            </w:r>
          </w:p>
        </w:tc>
        <w:tc>
          <w:tcPr>
            <w:tcW w:w="2148" w:type="dxa"/>
          </w:tcPr>
          <w:p w14:paraId="14CCD0C2" w14:textId="6FE89F6B" w:rsidR="00002A94" w:rsidRPr="00002A94" w:rsidRDefault="00BF498A" w:rsidP="00381A7F">
            <w:pPr>
              <w:autoSpaceDE w:val="0"/>
              <w:autoSpaceDN w:val="0"/>
              <w:adjustRightInd w:val="0"/>
              <w:rPr>
                <w:rFonts w:ascii="Arial" w:hAnsi="Arial" w:cs="Arial"/>
                <w:sz w:val="18"/>
                <w:szCs w:val="18"/>
              </w:rPr>
            </w:pPr>
            <w:r>
              <w:rPr>
                <w:rFonts w:ascii="Arial" w:hAnsi="Arial" w:cs="Arial"/>
                <w:sz w:val="18"/>
                <w:szCs w:val="18"/>
              </w:rPr>
              <w:t>13 / 96 (14%)</w:t>
            </w:r>
          </w:p>
        </w:tc>
      </w:tr>
      <w:tr w:rsidR="00FF68CE" w:rsidRPr="00002A94" w14:paraId="19F5931A" w14:textId="77777777" w:rsidTr="00BF498A">
        <w:tc>
          <w:tcPr>
            <w:tcW w:w="2347" w:type="dxa"/>
            <w:shd w:val="clear" w:color="auto" w:fill="B8CCE4" w:themeFill="accent1" w:themeFillTint="66"/>
          </w:tcPr>
          <w:p w14:paraId="67853D1A" w14:textId="0955F601" w:rsidR="00002A94" w:rsidRPr="00BF498A" w:rsidRDefault="00FF68CE" w:rsidP="00381A7F">
            <w:pPr>
              <w:autoSpaceDE w:val="0"/>
              <w:autoSpaceDN w:val="0"/>
              <w:adjustRightInd w:val="0"/>
              <w:rPr>
                <w:rFonts w:ascii="Arial" w:hAnsi="Arial" w:cs="Arial"/>
                <w:b/>
                <w:sz w:val="18"/>
                <w:szCs w:val="18"/>
              </w:rPr>
            </w:pPr>
            <w:r w:rsidRPr="00BF498A">
              <w:rPr>
                <w:rFonts w:ascii="Arial" w:hAnsi="Arial" w:cs="Arial"/>
                <w:b/>
                <w:sz w:val="18"/>
                <w:szCs w:val="18"/>
              </w:rPr>
              <w:t>2020</w:t>
            </w:r>
          </w:p>
        </w:tc>
        <w:tc>
          <w:tcPr>
            <w:tcW w:w="2148" w:type="dxa"/>
            <w:shd w:val="clear" w:color="auto" w:fill="B8CCE4" w:themeFill="accent1" w:themeFillTint="66"/>
          </w:tcPr>
          <w:p w14:paraId="7D860833" w14:textId="0FB64A72" w:rsidR="00002A94" w:rsidRPr="00BF498A" w:rsidRDefault="00BF498A" w:rsidP="00381A7F">
            <w:pPr>
              <w:autoSpaceDE w:val="0"/>
              <w:autoSpaceDN w:val="0"/>
              <w:adjustRightInd w:val="0"/>
              <w:rPr>
                <w:rFonts w:ascii="Arial" w:hAnsi="Arial" w:cs="Arial"/>
                <w:b/>
                <w:sz w:val="18"/>
                <w:szCs w:val="18"/>
              </w:rPr>
            </w:pPr>
            <w:r w:rsidRPr="00BF498A">
              <w:rPr>
                <w:rFonts w:ascii="Arial" w:hAnsi="Arial" w:cs="Arial"/>
                <w:b/>
                <w:sz w:val="18"/>
                <w:szCs w:val="18"/>
              </w:rPr>
              <w:t>25 / 116 (22%)</w:t>
            </w:r>
          </w:p>
        </w:tc>
      </w:tr>
      <w:tr w:rsidR="00FF68CE" w:rsidRPr="00002A94" w14:paraId="0862B4A4" w14:textId="77777777" w:rsidTr="00BF498A">
        <w:tc>
          <w:tcPr>
            <w:tcW w:w="4495" w:type="dxa"/>
            <w:gridSpan w:val="2"/>
          </w:tcPr>
          <w:p w14:paraId="4F19B5AE" w14:textId="77777777" w:rsidR="00FF68CE" w:rsidRPr="00FF68CE" w:rsidRDefault="00FF68CE" w:rsidP="00FF68CE">
            <w:pPr>
              <w:autoSpaceDE w:val="0"/>
              <w:autoSpaceDN w:val="0"/>
              <w:adjustRightInd w:val="0"/>
              <w:rPr>
                <w:rFonts w:ascii="Arial" w:hAnsi="Arial" w:cs="Arial"/>
                <w:i/>
                <w:sz w:val="18"/>
                <w:szCs w:val="18"/>
              </w:rPr>
            </w:pPr>
            <w:r w:rsidRPr="00FF68CE">
              <w:rPr>
                <w:rFonts w:ascii="Arial" w:hAnsi="Arial" w:cs="Arial"/>
                <w:i/>
                <w:sz w:val="18"/>
                <w:szCs w:val="18"/>
              </w:rPr>
              <w:t xml:space="preserve">* Data from 2006 and 2007 are the combined data from BBSP-participating programs prior to the initiation of BBSP in 2008.  </w:t>
            </w:r>
          </w:p>
          <w:p w14:paraId="446C4368" w14:textId="285BB8D7" w:rsidR="00FF68CE" w:rsidRPr="00FF68CE" w:rsidRDefault="00FF68CE" w:rsidP="00FF68CE">
            <w:pPr>
              <w:autoSpaceDE w:val="0"/>
              <w:autoSpaceDN w:val="0"/>
              <w:adjustRightInd w:val="0"/>
              <w:rPr>
                <w:rFonts w:ascii="Arial" w:hAnsi="Arial" w:cs="Arial"/>
                <w:i/>
                <w:sz w:val="18"/>
                <w:szCs w:val="18"/>
              </w:rPr>
            </w:pPr>
            <w:r w:rsidRPr="00FF68CE">
              <w:rPr>
                <w:rFonts w:ascii="Arial" w:hAnsi="Arial" w:cs="Arial"/>
                <w:i/>
                <w:sz w:val="18"/>
                <w:szCs w:val="18"/>
              </w:rPr>
              <w:t>**The 2014 BBSP class (n=64) was deliberately set smaller than the typical class size, which is 75-85.</w:t>
            </w:r>
          </w:p>
        </w:tc>
      </w:tr>
    </w:tbl>
    <w:p w14:paraId="77308C88" w14:textId="77777777" w:rsidR="00002A94" w:rsidRDefault="00002A94" w:rsidP="00381A7F">
      <w:pPr>
        <w:autoSpaceDE w:val="0"/>
        <w:autoSpaceDN w:val="0"/>
        <w:adjustRightInd w:val="0"/>
      </w:pPr>
    </w:p>
    <w:p w14:paraId="5EAAD999" w14:textId="77777777" w:rsidR="00002A94" w:rsidRDefault="00002A94" w:rsidP="00381A7F">
      <w:pPr>
        <w:autoSpaceDE w:val="0"/>
        <w:autoSpaceDN w:val="0"/>
        <w:adjustRightInd w:val="0"/>
      </w:pPr>
    </w:p>
    <w:p w14:paraId="60F26814" w14:textId="438DE572" w:rsidR="00820B8F" w:rsidRDefault="00820B8F" w:rsidP="00381A7F">
      <w:pPr>
        <w:autoSpaceDE w:val="0"/>
        <w:autoSpaceDN w:val="0"/>
        <w:adjustRightInd w:val="0"/>
      </w:pPr>
      <w:r w:rsidRPr="00381A7F">
        <w:lastRenderedPageBreak/>
        <w:t>In the 2015</w:t>
      </w:r>
      <w:r>
        <w:t>-201</w:t>
      </w:r>
      <w:r w:rsidR="00CD64B1">
        <w:t>8</w:t>
      </w:r>
      <w:r w:rsidRPr="00381A7F">
        <w:t xml:space="preserve"> recruitment season</w:t>
      </w:r>
      <w:r>
        <w:t>s,</w:t>
      </w:r>
      <w:r w:rsidRPr="00381A7F">
        <w:t xml:space="preserve"> 21</w:t>
      </w:r>
      <w:r>
        <w:t>-24</w:t>
      </w:r>
      <w:r w:rsidRPr="00381A7F">
        <w:t>% of domest</w:t>
      </w:r>
      <w:r>
        <w:t xml:space="preserve">ic BBSP </w:t>
      </w:r>
      <w:r w:rsidR="000252C9">
        <w:t>applications</w:t>
      </w:r>
      <w:r>
        <w:t xml:space="preserve"> were from UR applicants and 23-26</w:t>
      </w:r>
      <w:r w:rsidRPr="00381A7F">
        <w:t xml:space="preserve">% of the total admissions offers were issued to </w:t>
      </w:r>
      <w:r w:rsidR="000252C9">
        <w:t xml:space="preserve">these </w:t>
      </w:r>
      <w:r w:rsidRPr="00381A7F">
        <w:t xml:space="preserve">UR </w:t>
      </w:r>
      <w:r>
        <w:t>recruits</w:t>
      </w:r>
      <w:r w:rsidR="000D0B48">
        <w:t xml:space="preserve"> with an average matriculation rate of 39%</w:t>
      </w:r>
      <w:r w:rsidRPr="00381A7F">
        <w:t>.</w:t>
      </w:r>
      <w:r w:rsidR="00CD64B1">
        <w:t xml:space="preserve"> For </w:t>
      </w:r>
      <w:r w:rsidR="000D0B48">
        <w:t xml:space="preserve">the </w:t>
      </w:r>
      <w:r w:rsidR="00CD64B1">
        <w:t>2019</w:t>
      </w:r>
      <w:r w:rsidR="000D0B48">
        <w:t xml:space="preserve"> recruitment season</w:t>
      </w:r>
      <w:r w:rsidR="00CD64B1">
        <w:t>,</w:t>
      </w:r>
      <w:r w:rsidR="000D0B48">
        <w:t xml:space="preserve"> however,</w:t>
      </w:r>
      <w:r w:rsidR="00CD64B1">
        <w:t xml:space="preserve"> the observed increase</w:t>
      </w:r>
      <w:r w:rsidR="002B380B">
        <w:t>s</w:t>
      </w:r>
      <w:r w:rsidR="00CD64B1">
        <w:t xml:space="preserve"> in UR </w:t>
      </w:r>
      <w:r w:rsidR="000D0B48">
        <w:t xml:space="preserve">student </w:t>
      </w:r>
      <w:r w:rsidR="00CD64B1">
        <w:t>applications, interviews</w:t>
      </w:r>
      <w:r w:rsidR="002B380B">
        <w:t>,</w:t>
      </w:r>
      <w:r w:rsidR="00CD64B1">
        <w:t xml:space="preserve"> and admission offers </w:t>
      </w:r>
      <w:r w:rsidR="002B380B">
        <w:t>were</w:t>
      </w:r>
      <w:r w:rsidR="00CD64B1">
        <w:t xml:space="preserve"> no</w:t>
      </w:r>
      <w:r w:rsidR="000D0B48">
        <w:t>t</w:t>
      </w:r>
      <w:r w:rsidR="00CD64B1">
        <w:t xml:space="preserve"> coincident </w:t>
      </w:r>
      <w:r w:rsidR="003639CD">
        <w:t xml:space="preserve">with </w:t>
      </w:r>
      <w:r w:rsidR="000D0B48">
        <w:t>increase</w:t>
      </w:r>
      <w:r w:rsidR="003639CD">
        <w:t>d</w:t>
      </w:r>
      <w:r w:rsidR="00CD64B1">
        <w:t xml:space="preserve"> UR student enrollment</w:t>
      </w:r>
      <w:r w:rsidR="00D90C1F">
        <w:t xml:space="preserve"> in BBSP</w:t>
      </w:r>
      <w:r w:rsidR="00CD64B1">
        <w:t xml:space="preserve">. </w:t>
      </w:r>
      <w:r w:rsidR="003639CD">
        <w:t>A</w:t>
      </w:r>
      <w:r w:rsidR="000D0B48">
        <w:t xml:space="preserve"> significant reduction in </w:t>
      </w:r>
      <w:r w:rsidR="002B380B">
        <w:t>UR recruit</w:t>
      </w:r>
      <w:r w:rsidR="00726F42">
        <w:t xml:space="preserve"> </w:t>
      </w:r>
      <w:r w:rsidR="00D90C1F">
        <w:t>matriculation</w:t>
      </w:r>
      <w:r w:rsidR="00726F42">
        <w:t xml:space="preserve"> </w:t>
      </w:r>
      <w:r w:rsidR="00D90C1F">
        <w:t>occurred</w:t>
      </w:r>
      <w:r w:rsidR="00726F42">
        <w:t xml:space="preserve"> as </w:t>
      </w:r>
      <w:r w:rsidR="00D90C1F">
        <w:t xml:space="preserve">both the State of </w:t>
      </w:r>
      <w:r w:rsidR="00726F42">
        <w:t xml:space="preserve">North Carolina </w:t>
      </w:r>
      <w:r w:rsidR="00D90C1F">
        <w:t xml:space="preserve">and UNC </w:t>
      </w:r>
      <w:r w:rsidR="00726F42">
        <w:t xml:space="preserve">received national </w:t>
      </w:r>
      <w:r w:rsidR="003639CD">
        <w:t xml:space="preserve">media </w:t>
      </w:r>
      <w:r w:rsidR="00726F42">
        <w:t xml:space="preserve">attention </w:t>
      </w:r>
      <w:r w:rsidR="00D90C1F">
        <w:t>related</w:t>
      </w:r>
      <w:r w:rsidR="003639CD">
        <w:t xml:space="preserve"> to</w:t>
      </w:r>
      <w:r w:rsidR="000658B8">
        <w:t xml:space="preserve"> </w:t>
      </w:r>
      <w:r w:rsidR="003639CD">
        <w:t>deep-rooted societal issues.</w:t>
      </w:r>
    </w:p>
    <w:p w14:paraId="35A80DF9" w14:textId="77777777" w:rsidR="00FF68CE" w:rsidRDefault="00FF68CE" w:rsidP="00381A7F">
      <w:pPr>
        <w:autoSpaceDE w:val="0"/>
        <w:autoSpaceDN w:val="0"/>
        <w:adjustRightInd w:val="0"/>
      </w:pPr>
    </w:p>
    <w:tbl>
      <w:tblPr>
        <w:tblStyle w:val="TableGrid"/>
        <w:tblW w:w="10615" w:type="dxa"/>
        <w:tblCellMar>
          <w:top w:w="43" w:type="dxa"/>
          <w:left w:w="115" w:type="dxa"/>
          <w:bottom w:w="29" w:type="dxa"/>
          <w:right w:w="115" w:type="dxa"/>
        </w:tblCellMar>
        <w:tblLook w:val="00A0" w:firstRow="1" w:lastRow="0" w:firstColumn="1" w:lastColumn="0" w:noHBand="0" w:noVBand="0"/>
      </w:tblPr>
      <w:tblGrid>
        <w:gridCol w:w="731"/>
        <w:gridCol w:w="2110"/>
        <w:gridCol w:w="1529"/>
        <w:gridCol w:w="1435"/>
        <w:gridCol w:w="1703"/>
        <w:gridCol w:w="1757"/>
        <w:gridCol w:w="1350"/>
      </w:tblGrid>
      <w:tr w:rsidR="00FD7D1D" w:rsidRPr="00857007" w14:paraId="0C0233B3" w14:textId="77777777" w:rsidTr="00FF68CE">
        <w:trPr>
          <w:trHeight w:val="144"/>
        </w:trPr>
        <w:tc>
          <w:tcPr>
            <w:tcW w:w="10615" w:type="dxa"/>
            <w:gridSpan w:val="7"/>
            <w:shd w:val="clear" w:color="auto" w:fill="D9D9D9" w:themeFill="background1" w:themeFillShade="D9"/>
            <w:vAlign w:val="bottom"/>
          </w:tcPr>
          <w:p w14:paraId="3D875630" w14:textId="594A9B5B" w:rsidR="00FD7D1D" w:rsidRPr="00857007" w:rsidRDefault="00FD7D1D" w:rsidP="00FF68CE">
            <w:pPr>
              <w:widowControl w:val="0"/>
              <w:jc w:val="both"/>
              <w:rPr>
                <w:rFonts w:ascii="Arial" w:hAnsi="Arial" w:cs="Arial"/>
                <w:b/>
                <w:sz w:val="18"/>
                <w:szCs w:val="18"/>
              </w:rPr>
            </w:pPr>
            <w:r w:rsidRPr="00857007">
              <w:rPr>
                <w:rFonts w:ascii="Arial" w:hAnsi="Arial" w:cs="Arial"/>
                <w:b/>
                <w:sz w:val="18"/>
                <w:szCs w:val="18"/>
              </w:rPr>
              <w:t xml:space="preserve">UR applicants in BBSP admissions </w:t>
            </w:r>
          </w:p>
        </w:tc>
      </w:tr>
      <w:tr w:rsidR="00FD7D1D" w:rsidRPr="00857007" w14:paraId="137B3C4E" w14:textId="77777777" w:rsidTr="00FF68CE">
        <w:trPr>
          <w:trHeight w:val="144"/>
        </w:trPr>
        <w:tc>
          <w:tcPr>
            <w:tcW w:w="731" w:type="dxa"/>
            <w:shd w:val="clear" w:color="auto" w:fill="D9D9D9" w:themeFill="background1" w:themeFillShade="D9"/>
            <w:vAlign w:val="bottom"/>
          </w:tcPr>
          <w:p w14:paraId="4B861FB6" w14:textId="77777777" w:rsidR="00FD7D1D" w:rsidRPr="00857007" w:rsidRDefault="00FD7D1D" w:rsidP="00FF68CE">
            <w:pPr>
              <w:pStyle w:val="Header"/>
              <w:widowControl w:val="0"/>
              <w:tabs>
                <w:tab w:val="left" w:pos="1440"/>
                <w:tab w:val="left" w:pos="6570"/>
              </w:tabs>
              <w:jc w:val="both"/>
              <w:rPr>
                <w:rFonts w:ascii="Arial" w:hAnsi="Arial" w:cs="Arial"/>
                <w:b/>
                <w:color w:val="000000" w:themeColor="text1"/>
                <w:sz w:val="18"/>
                <w:szCs w:val="18"/>
              </w:rPr>
            </w:pPr>
            <w:r w:rsidRPr="00857007">
              <w:rPr>
                <w:rFonts w:ascii="Arial" w:hAnsi="Arial" w:cs="Arial"/>
                <w:b/>
                <w:color w:val="000000" w:themeColor="text1"/>
                <w:sz w:val="18"/>
                <w:szCs w:val="18"/>
              </w:rPr>
              <w:t xml:space="preserve">BBSP </w:t>
            </w:r>
            <w:r w:rsidRPr="00857007">
              <w:rPr>
                <w:rFonts w:ascii="Arial" w:hAnsi="Arial" w:cs="Arial"/>
                <w:b/>
                <w:sz w:val="18"/>
                <w:szCs w:val="18"/>
              </w:rPr>
              <w:t>class</w:t>
            </w:r>
          </w:p>
        </w:tc>
        <w:tc>
          <w:tcPr>
            <w:tcW w:w="2110" w:type="dxa"/>
            <w:shd w:val="clear" w:color="auto" w:fill="D9D9D9" w:themeFill="background1" w:themeFillShade="D9"/>
            <w:vAlign w:val="bottom"/>
          </w:tcPr>
          <w:p w14:paraId="737B601B" w14:textId="49BE9DFC" w:rsidR="00FD7D1D" w:rsidRPr="00857007" w:rsidRDefault="00FD7D1D" w:rsidP="00FF68CE">
            <w:pPr>
              <w:widowControl w:val="0"/>
              <w:rPr>
                <w:rFonts w:ascii="Arial" w:hAnsi="Arial" w:cs="Arial"/>
                <w:b/>
                <w:color w:val="000000" w:themeColor="text1"/>
                <w:sz w:val="18"/>
                <w:szCs w:val="18"/>
              </w:rPr>
            </w:pPr>
            <w:r w:rsidRPr="00857007">
              <w:rPr>
                <w:rFonts w:ascii="Arial" w:hAnsi="Arial" w:cs="Arial"/>
                <w:b/>
                <w:color w:val="000000" w:themeColor="text1"/>
                <w:sz w:val="18"/>
                <w:szCs w:val="18"/>
              </w:rPr>
              <w:t>All Applications</w:t>
            </w:r>
            <w:r w:rsidR="00617AB3">
              <w:rPr>
                <w:rFonts w:ascii="Arial" w:hAnsi="Arial" w:cs="Arial"/>
                <w:b/>
                <w:color w:val="000000" w:themeColor="text1"/>
                <w:sz w:val="18"/>
                <w:szCs w:val="18"/>
              </w:rPr>
              <w:br/>
            </w:r>
            <w:r w:rsidRPr="00857007">
              <w:rPr>
                <w:rFonts w:ascii="Arial" w:hAnsi="Arial" w:cs="Arial"/>
                <w:b/>
                <w:color w:val="000000" w:themeColor="text1"/>
                <w:sz w:val="18"/>
                <w:szCs w:val="18"/>
              </w:rPr>
              <w:t>(Domestic + Foreign)</w:t>
            </w:r>
          </w:p>
        </w:tc>
        <w:tc>
          <w:tcPr>
            <w:tcW w:w="1529" w:type="dxa"/>
            <w:shd w:val="clear" w:color="auto" w:fill="D9D9D9" w:themeFill="background1" w:themeFillShade="D9"/>
            <w:vAlign w:val="bottom"/>
          </w:tcPr>
          <w:p w14:paraId="5F22E797" w14:textId="77777777" w:rsidR="00FD7D1D" w:rsidRPr="00857007" w:rsidRDefault="00FD7D1D" w:rsidP="00FF68CE">
            <w:pPr>
              <w:widowControl w:val="0"/>
              <w:jc w:val="both"/>
              <w:rPr>
                <w:rFonts w:ascii="Arial" w:hAnsi="Arial" w:cs="Arial"/>
                <w:b/>
                <w:color w:val="000000" w:themeColor="text1"/>
                <w:sz w:val="18"/>
                <w:szCs w:val="18"/>
              </w:rPr>
            </w:pPr>
            <w:r w:rsidRPr="00857007">
              <w:rPr>
                <w:rFonts w:ascii="Arial" w:hAnsi="Arial" w:cs="Arial"/>
                <w:b/>
                <w:color w:val="000000" w:themeColor="text1"/>
                <w:sz w:val="18"/>
                <w:szCs w:val="18"/>
              </w:rPr>
              <w:t>Applications (UR/Domestic)</w:t>
            </w:r>
          </w:p>
        </w:tc>
        <w:tc>
          <w:tcPr>
            <w:tcW w:w="1435" w:type="dxa"/>
            <w:shd w:val="clear" w:color="auto" w:fill="D9D9D9" w:themeFill="background1" w:themeFillShade="D9"/>
            <w:vAlign w:val="bottom"/>
          </w:tcPr>
          <w:p w14:paraId="591B6864" w14:textId="77777777" w:rsidR="00FD7D1D" w:rsidRPr="00857007" w:rsidRDefault="00FD7D1D" w:rsidP="00FF68CE">
            <w:pPr>
              <w:widowControl w:val="0"/>
              <w:jc w:val="both"/>
              <w:rPr>
                <w:rFonts w:ascii="Arial" w:hAnsi="Arial" w:cs="Arial"/>
                <w:b/>
                <w:color w:val="000000" w:themeColor="text1"/>
                <w:sz w:val="18"/>
                <w:szCs w:val="18"/>
              </w:rPr>
            </w:pPr>
            <w:r w:rsidRPr="00857007">
              <w:rPr>
                <w:rFonts w:ascii="Arial" w:hAnsi="Arial" w:cs="Arial"/>
                <w:b/>
                <w:color w:val="000000" w:themeColor="text1"/>
                <w:sz w:val="18"/>
                <w:szCs w:val="18"/>
              </w:rPr>
              <w:t>Interviews (UR/Total)</w:t>
            </w:r>
          </w:p>
        </w:tc>
        <w:tc>
          <w:tcPr>
            <w:tcW w:w="1703" w:type="dxa"/>
            <w:shd w:val="clear" w:color="auto" w:fill="D9D9D9" w:themeFill="background1" w:themeFillShade="D9"/>
            <w:vAlign w:val="bottom"/>
          </w:tcPr>
          <w:p w14:paraId="0B80AAAF" w14:textId="77777777" w:rsidR="00FD7D1D" w:rsidRPr="00857007" w:rsidRDefault="00FD7D1D" w:rsidP="00FF68CE">
            <w:pPr>
              <w:widowControl w:val="0"/>
              <w:jc w:val="both"/>
              <w:rPr>
                <w:rFonts w:ascii="Arial" w:hAnsi="Arial" w:cs="Arial"/>
                <w:b/>
                <w:color w:val="000000" w:themeColor="text1"/>
                <w:sz w:val="18"/>
                <w:szCs w:val="18"/>
              </w:rPr>
            </w:pPr>
            <w:r w:rsidRPr="00857007">
              <w:rPr>
                <w:rFonts w:ascii="Arial" w:hAnsi="Arial" w:cs="Arial"/>
                <w:b/>
                <w:color w:val="000000" w:themeColor="text1"/>
                <w:sz w:val="18"/>
                <w:szCs w:val="18"/>
              </w:rPr>
              <w:t>Admissions Offers (UR/Total)</w:t>
            </w:r>
          </w:p>
        </w:tc>
        <w:tc>
          <w:tcPr>
            <w:tcW w:w="1757" w:type="dxa"/>
            <w:shd w:val="clear" w:color="auto" w:fill="D9D9D9" w:themeFill="background1" w:themeFillShade="D9"/>
            <w:vAlign w:val="bottom"/>
          </w:tcPr>
          <w:p w14:paraId="6220B3B2" w14:textId="7DA77D89" w:rsidR="00FD7D1D" w:rsidRPr="00857007" w:rsidRDefault="00FD7D1D" w:rsidP="00FF68CE">
            <w:pPr>
              <w:widowControl w:val="0"/>
              <w:rPr>
                <w:rFonts w:ascii="Arial" w:hAnsi="Arial" w:cs="Arial"/>
                <w:b/>
                <w:color w:val="000000" w:themeColor="text1"/>
                <w:sz w:val="18"/>
                <w:szCs w:val="18"/>
              </w:rPr>
            </w:pPr>
            <w:r w:rsidRPr="00857007">
              <w:rPr>
                <w:rFonts w:ascii="Arial" w:hAnsi="Arial" w:cs="Arial"/>
                <w:b/>
                <w:color w:val="000000" w:themeColor="text1"/>
                <w:sz w:val="18"/>
                <w:szCs w:val="18"/>
              </w:rPr>
              <w:t xml:space="preserve">UR Yield </w:t>
            </w:r>
            <w:r w:rsidR="00693A53">
              <w:rPr>
                <w:rFonts w:ascii="Arial" w:hAnsi="Arial" w:cs="Arial"/>
                <w:b/>
                <w:color w:val="000000" w:themeColor="text1"/>
                <w:sz w:val="18"/>
                <w:szCs w:val="18"/>
              </w:rPr>
              <w:br/>
            </w:r>
            <w:r w:rsidRPr="00857007">
              <w:rPr>
                <w:rFonts w:ascii="Arial" w:hAnsi="Arial" w:cs="Arial"/>
                <w:b/>
                <w:color w:val="000000" w:themeColor="text1"/>
                <w:sz w:val="18"/>
                <w:szCs w:val="18"/>
              </w:rPr>
              <w:t xml:space="preserve">(offers </w:t>
            </w:r>
            <w:r w:rsidR="00617AB3">
              <w:rPr>
                <w:rFonts w:ascii="Arial" w:hAnsi="Arial" w:cs="Arial"/>
                <w:b/>
                <w:color w:val="000000" w:themeColor="text1"/>
                <w:sz w:val="18"/>
                <w:szCs w:val="18"/>
              </w:rPr>
              <w:t>a</w:t>
            </w:r>
            <w:r w:rsidRPr="00857007">
              <w:rPr>
                <w:rFonts w:ascii="Arial" w:hAnsi="Arial" w:cs="Arial"/>
                <w:b/>
                <w:color w:val="000000" w:themeColor="text1"/>
                <w:sz w:val="18"/>
                <w:szCs w:val="18"/>
              </w:rPr>
              <w:t>ccepted)</w:t>
            </w:r>
          </w:p>
        </w:tc>
        <w:tc>
          <w:tcPr>
            <w:tcW w:w="1350" w:type="dxa"/>
            <w:shd w:val="clear" w:color="auto" w:fill="D9D9D9" w:themeFill="background1" w:themeFillShade="D9"/>
            <w:vAlign w:val="bottom"/>
          </w:tcPr>
          <w:p w14:paraId="1B9A8F61" w14:textId="77777777" w:rsidR="00FD7D1D" w:rsidRPr="00857007" w:rsidRDefault="00FD7D1D" w:rsidP="00FF68CE">
            <w:pPr>
              <w:widowControl w:val="0"/>
              <w:jc w:val="both"/>
              <w:rPr>
                <w:rFonts w:ascii="Arial" w:hAnsi="Arial" w:cs="Arial"/>
                <w:b/>
                <w:color w:val="000000" w:themeColor="text1"/>
                <w:sz w:val="18"/>
                <w:szCs w:val="18"/>
              </w:rPr>
            </w:pPr>
            <w:r w:rsidRPr="00857007">
              <w:rPr>
                <w:rFonts w:ascii="Arial" w:hAnsi="Arial" w:cs="Arial"/>
                <w:b/>
                <w:color w:val="000000" w:themeColor="text1"/>
                <w:sz w:val="18"/>
                <w:szCs w:val="18"/>
              </w:rPr>
              <w:t>Enrollees (UR/Total)</w:t>
            </w:r>
          </w:p>
        </w:tc>
      </w:tr>
      <w:tr w:rsidR="00FD7D1D" w:rsidRPr="00857007" w14:paraId="1208A959" w14:textId="77777777" w:rsidTr="00FF68CE">
        <w:trPr>
          <w:trHeight w:val="216"/>
        </w:trPr>
        <w:tc>
          <w:tcPr>
            <w:tcW w:w="731" w:type="dxa"/>
            <w:vAlign w:val="center"/>
          </w:tcPr>
          <w:p w14:paraId="79C53B6C"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2008</w:t>
            </w:r>
          </w:p>
        </w:tc>
        <w:tc>
          <w:tcPr>
            <w:tcW w:w="2110" w:type="dxa"/>
            <w:shd w:val="clear" w:color="808080" w:themeColor="background1" w:themeShade="80" w:fill="auto"/>
            <w:vAlign w:val="center"/>
          </w:tcPr>
          <w:p w14:paraId="1E859C31"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1032</w:t>
            </w:r>
          </w:p>
        </w:tc>
        <w:tc>
          <w:tcPr>
            <w:tcW w:w="1529" w:type="dxa"/>
            <w:shd w:val="clear" w:color="808080" w:themeColor="background1" w:themeShade="80" w:fill="auto"/>
            <w:vAlign w:val="center"/>
          </w:tcPr>
          <w:p w14:paraId="06C5C451"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71/714 (10%)</w:t>
            </w:r>
          </w:p>
        </w:tc>
        <w:tc>
          <w:tcPr>
            <w:tcW w:w="1435" w:type="dxa"/>
            <w:shd w:val="clear" w:color="auto" w:fill="auto"/>
            <w:vAlign w:val="center"/>
          </w:tcPr>
          <w:p w14:paraId="6C0919F6"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45/300 (15%)</w:t>
            </w:r>
          </w:p>
        </w:tc>
        <w:tc>
          <w:tcPr>
            <w:tcW w:w="1703" w:type="dxa"/>
            <w:vAlign w:val="center"/>
          </w:tcPr>
          <w:p w14:paraId="3435D799"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42/261 (16%)</w:t>
            </w:r>
          </w:p>
        </w:tc>
        <w:tc>
          <w:tcPr>
            <w:tcW w:w="1757" w:type="dxa"/>
            <w:vAlign w:val="center"/>
          </w:tcPr>
          <w:p w14:paraId="109CCB59"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55%</w:t>
            </w:r>
          </w:p>
        </w:tc>
        <w:tc>
          <w:tcPr>
            <w:tcW w:w="1350" w:type="dxa"/>
            <w:vAlign w:val="center"/>
          </w:tcPr>
          <w:p w14:paraId="6A31C2BD"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23/123 (19%)</w:t>
            </w:r>
          </w:p>
        </w:tc>
      </w:tr>
      <w:tr w:rsidR="00FD7D1D" w:rsidRPr="00857007" w14:paraId="6148B184" w14:textId="77777777" w:rsidTr="00FF68CE">
        <w:trPr>
          <w:trHeight w:val="216"/>
        </w:trPr>
        <w:tc>
          <w:tcPr>
            <w:tcW w:w="731" w:type="dxa"/>
            <w:vAlign w:val="center"/>
          </w:tcPr>
          <w:p w14:paraId="71558941"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2009</w:t>
            </w:r>
          </w:p>
        </w:tc>
        <w:tc>
          <w:tcPr>
            <w:tcW w:w="2110" w:type="dxa"/>
            <w:vAlign w:val="center"/>
          </w:tcPr>
          <w:p w14:paraId="797F7F37"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980</w:t>
            </w:r>
          </w:p>
        </w:tc>
        <w:tc>
          <w:tcPr>
            <w:tcW w:w="1529" w:type="dxa"/>
            <w:vAlign w:val="center"/>
          </w:tcPr>
          <w:p w14:paraId="2B4063E2"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76/573 (13%)</w:t>
            </w:r>
          </w:p>
        </w:tc>
        <w:tc>
          <w:tcPr>
            <w:tcW w:w="1435" w:type="dxa"/>
            <w:vAlign w:val="center"/>
          </w:tcPr>
          <w:p w14:paraId="6044952A"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37/238 (16%)</w:t>
            </w:r>
          </w:p>
        </w:tc>
        <w:tc>
          <w:tcPr>
            <w:tcW w:w="1703" w:type="dxa"/>
            <w:vAlign w:val="center"/>
          </w:tcPr>
          <w:p w14:paraId="421B51B6"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31/201 (15%)</w:t>
            </w:r>
          </w:p>
        </w:tc>
        <w:tc>
          <w:tcPr>
            <w:tcW w:w="1757" w:type="dxa"/>
            <w:vAlign w:val="center"/>
          </w:tcPr>
          <w:p w14:paraId="2D1A8AB6"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61%</w:t>
            </w:r>
          </w:p>
        </w:tc>
        <w:tc>
          <w:tcPr>
            <w:tcW w:w="1350" w:type="dxa"/>
            <w:vAlign w:val="center"/>
          </w:tcPr>
          <w:p w14:paraId="6E48288E"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19/84 (23%)</w:t>
            </w:r>
          </w:p>
        </w:tc>
      </w:tr>
      <w:tr w:rsidR="00FD7D1D" w:rsidRPr="00857007" w14:paraId="1E77C06F" w14:textId="77777777" w:rsidTr="00FF68CE">
        <w:trPr>
          <w:trHeight w:val="216"/>
        </w:trPr>
        <w:tc>
          <w:tcPr>
            <w:tcW w:w="731" w:type="dxa"/>
            <w:vAlign w:val="center"/>
          </w:tcPr>
          <w:p w14:paraId="3CCEFE61"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2010</w:t>
            </w:r>
          </w:p>
        </w:tc>
        <w:tc>
          <w:tcPr>
            <w:tcW w:w="2110" w:type="dxa"/>
            <w:vAlign w:val="center"/>
          </w:tcPr>
          <w:p w14:paraId="6C019884"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1131</w:t>
            </w:r>
          </w:p>
        </w:tc>
        <w:tc>
          <w:tcPr>
            <w:tcW w:w="1529" w:type="dxa"/>
            <w:vAlign w:val="center"/>
          </w:tcPr>
          <w:p w14:paraId="1444F285"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101/789 (13%)</w:t>
            </w:r>
          </w:p>
        </w:tc>
        <w:tc>
          <w:tcPr>
            <w:tcW w:w="1435" w:type="dxa"/>
            <w:vAlign w:val="center"/>
          </w:tcPr>
          <w:p w14:paraId="3418A7D1"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47/278 (17%)</w:t>
            </w:r>
          </w:p>
        </w:tc>
        <w:tc>
          <w:tcPr>
            <w:tcW w:w="1703" w:type="dxa"/>
            <w:vAlign w:val="center"/>
          </w:tcPr>
          <w:p w14:paraId="30EACC0D"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35/215 (16%)</w:t>
            </w:r>
          </w:p>
        </w:tc>
        <w:tc>
          <w:tcPr>
            <w:tcW w:w="1757" w:type="dxa"/>
            <w:vAlign w:val="center"/>
          </w:tcPr>
          <w:p w14:paraId="3AA2E15F"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39%</w:t>
            </w:r>
          </w:p>
        </w:tc>
        <w:tc>
          <w:tcPr>
            <w:tcW w:w="1350" w:type="dxa"/>
            <w:vAlign w:val="center"/>
          </w:tcPr>
          <w:p w14:paraId="15ACBA67"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17/76 (22%)</w:t>
            </w:r>
          </w:p>
        </w:tc>
      </w:tr>
      <w:tr w:rsidR="00FD7D1D" w:rsidRPr="00857007" w14:paraId="26DA404B" w14:textId="77777777" w:rsidTr="00FF68CE">
        <w:trPr>
          <w:trHeight w:val="216"/>
        </w:trPr>
        <w:tc>
          <w:tcPr>
            <w:tcW w:w="731" w:type="dxa"/>
            <w:vAlign w:val="center"/>
          </w:tcPr>
          <w:p w14:paraId="731E32F2"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2011</w:t>
            </w:r>
          </w:p>
        </w:tc>
        <w:tc>
          <w:tcPr>
            <w:tcW w:w="2110" w:type="dxa"/>
            <w:vAlign w:val="center"/>
          </w:tcPr>
          <w:p w14:paraId="689558D6"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1149</w:t>
            </w:r>
          </w:p>
        </w:tc>
        <w:tc>
          <w:tcPr>
            <w:tcW w:w="1529" w:type="dxa"/>
            <w:vAlign w:val="center"/>
          </w:tcPr>
          <w:p w14:paraId="447DEB60"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128/510 (25%)</w:t>
            </w:r>
          </w:p>
        </w:tc>
        <w:tc>
          <w:tcPr>
            <w:tcW w:w="1435" w:type="dxa"/>
            <w:vAlign w:val="center"/>
          </w:tcPr>
          <w:p w14:paraId="2DBB8F5A"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47/306 (15%)</w:t>
            </w:r>
          </w:p>
        </w:tc>
        <w:tc>
          <w:tcPr>
            <w:tcW w:w="1703" w:type="dxa"/>
            <w:vAlign w:val="center"/>
          </w:tcPr>
          <w:p w14:paraId="0F77427F"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39/250 (16%)</w:t>
            </w:r>
          </w:p>
        </w:tc>
        <w:tc>
          <w:tcPr>
            <w:tcW w:w="1757" w:type="dxa"/>
            <w:vAlign w:val="center"/>
          </w:tcPr>
          <w:p w14:paraId="6D3EAA98"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31%</w:t>
            </w:r>
          </w:p>
        </w:tc>
        <w:tc>
          <w:tcPr>
            <w:tcW w:w="1350" w:type="dxa"/>
            <w:vAlign w:val="center"/>
          </w:tcPr>
          <w:p w14:paraId="18238CB8"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11/83 (13%)</w:t>
            </w:r>
          </w:p>
        </w:tc>
      </w:tr>
      <w:tr w:rsidR="00FD7D1D" w:rsidRPr="00857007" w14:paraId="57D89920" w14:textId="77777777" w:rsidTr="00FF68CE">
        <w:trPr>
          <w:trHeight w:val="216"/>
        </w:trPr>
        <w:tc>
          <w:tcPr>
            <w:tcW w:w="731" w:type="dxa"/>
            <w:vAlign w:val="center"/>
          </w:tcPr>
          <w:p w14:paraId="1DE141BC"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2012</w:t>
            </w:r>
          </w:p>
        </w:tc>
        <w:tc>
          <w:tcPr>
            <w:tcW w:w="2110" w:type="dxa"/>
            <w:vAlign w:val="center"/>
          </w:tcPr>
          <w:p w14:paraId="65A37D85"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1383</w:t>
            </w:r>
          </w:p>
        </w:tc>
        <w:tc>
          <w:tcPr>
            <w:tcW w:w="1529" w:type="dxa"/>
            <w:vAlign w:val="center"/>
          </w:tcPr>
          <w:p w14:paraId="4C13484F"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120/838 (14%)</w:t>
            </w:r>
          </w:p>
        </w:tc>
        <w:tc>
          <w:tcPr>
            <w:tcW w:w="1435" w:type="dxa"/>
            <w:vAlign w:val="center"/>
          </w:tcPr>
          <w:p w14:paraId="1AC9D53E"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43/346 (12%)</w:t>
            </w:r>
          </w:p>
        </w:tc>
        <w:tc>
          <w:tcPr>
            <w:tcW w:w="1703" w:type="dxa"/>
            <w:vAlign w:val="center"/>
          </w:tcPr>
          <w:p w14:paraId="4C067D7F"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40/251 (16%)</w:t>
            </w:r>
          </w:p>
        </w:tc>
        <w:tc>
          <w:tcPr>
            <w:tcW w:w="1757" w:type="dxa"/>
            <w:vAlign w:val="center"/>
          </w:tcPr>
          <w:p w14:paraId="3009400A"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30%</w:t>
            </w:r>
          </w:p>
        </w:tc>
        <w:tc>
          <w:tcPr>
            <w:tcW w:w="1350" w:type="dxa"/>
            <w:vAlign w:val="center"/>
          </w:tcPr>
          <w:p w14:paraId="6DEA7D5F"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12/86 (14%)</w:t>
            </w:r>
          </w:p>
        </w:tc>
      </w:tr>
      <w:tr w:rsidR="00FD7D1D" w:rsidRPr="00857007" w14:paraId="0CD54368" w14:textId="77777777" w:rsidTr="00FF68CE">
        <w:trPr>
          <w:trHeight w:val="216"/>
        </w:trPr>
        <w:tc>
          <w:tcPr>
            <w:tcW w:w="731" w:type="dxa"/>
            <w:vAlign w:val="center"/>
          </w:tcPr>
          <w:p w14:paraId="2B7744F5"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2013</w:t>
            </w:r>
          </w:p>
        </w:tc>
        <w:tc>
          <w:tcPr>
            <w:tcW w:w="2110" w:type="dxa"/>
            <w:vAlign w:val="center"/>
          </w:tcPr>
          <w:p w14:paraId="199D26CD"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1217</w:t>
            </w:r>
          </w:p>
        </w:tc>
        <w:tc>
          <w:tcPr>
            <w:tcW w:w="1529" w:type="dxa"/>
            <w:vAlign w:val="center"/>
          </w:tcPr>
          <w:p w14:paraId="3CE63800"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130/781 (17%)</w:t>
            </w:r>
          </w:p>
        </w:tc>
        <w:tc>
          <w:tcPr>
            <w:tcW w:w="1435" w:type="dxa"/>
            <w:vAlign w:val="center"/>
          </w:tcPr>
          <w:p w14:paraId="66FF344F"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50/318 (16%)</w:t>
            </w:r>
          </w:p>
        </w:tc>
        <w:tc>
          <w:tcPr>
            <w:tcW w:w="1703" w:type="dxa"/>
            <w:vAlign w:val="center"/>
          </w:tcPr>
          <w:p w14:paraId="6786B282"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38/230 (17%)</w:t>
            </w:r>
          </w:p>
        </w:tc>
        <w:tc>
          <w:tcPr>
            <w:tcW w:w="1757" w:type="dxa"/>
            <w:vAlign w:val="center"/>
          </w:tcPr>
          <w:p w14:paraId="357B1013"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42%</w:t>
            </w:r>
          </w:p>
        </w:tc>
        <w:tc>
          <w:tcPr>
            <w:tcW w:w="1350" w:type="dxa"/>
            <w:vAlign w:val="center"/>
          </w:tcPr>
          <w:p w14:paraId="4D24837D"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16/90 (18%)</w:t>
            </w:r>
          </w:p>
        </w:tc>
      </w:tr>
      <w:tr w:rsidR="00FD7D1D" w:rsidRPr="00857007" w14:paraId="789F7E03" w14:textId="77777777" w:rsidTr="00FF68CE">
        <w:trPr>
          <w:trHeight w:val="216"/>
        </w:trPr>
        <w:tc>
          <w:tcPr>
            <w:tcW w:w="731" w:type="dxa"/>
            <w:vAlign w:val="center"/>
          </w:tcPr>
          <w:p w14:paraId="6C879CF5"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2014</w:t>
            </w:r>
          </w:p>
        </w:tc>
        <w:tc>
          <w:tcPr>
            <w:tcW w:w="2110" w:type="dxa"/>
            <w:vAlign w:val="center"/>
          </w:tcPr>
          <w:p w14:paraId="299D5B57"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1216</w:t>
            </w:r>
          </w:p>
        </w:tc>
        <w:tc>
          <w:tcPr>
            <w:tcW w:w="1529" w:type="dxa"/>
            <w:vAlign w:val="center"/>
          </w:tcPr>
          <w:p w14:paraId="14C5E7A8"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149/837 (18%)</w:t>
            </w:r>
          </w:p>
        </w:tc>
        <w:tc>
          <w:tcPr>
            <w:tcW w:w="1435" w:type="dxa"/>
            <w:vAlign w:val="center"/>
          </w:tcPr>
          <w:p w14:paraId="0754E3B6"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48/293 (16%)</w:t>
            </w:r>
          </w:p>
        </w:tc>
        <w:tc>
          <w:tcPr>
            <w:tcW w:w="1703" w:type="dxa"/>
            <w:vAlign w:val="center"/>
          </w:tcPr>
          <w:p w14:paraId="5EB08220"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29/170 (17%)</w:t>
            </w:r>
          </w:p>
        </w:tc>
        <w:tc>
          <w:tcPr>
            <w:tcW w:w="1757" w:type="dxa"/>
            <w:vAlign w:val="center"/>
          </w:tcPr>
          <w:p w14:paraId="347CEAA1"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28%</w:t>
            </w:r>
          </w:p>
        </w:tc>
        <w:tc>
          <w:tcPr>
            <w:tcW w:w="1350" w:type="dxa"/>
            <w:vAlign w:val="center"/>
          </w:tcPr>
          <w:p w14:paraId="3741F6A2"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7/65 (11%)</w:t>
            </w:r>
          </w:p>
        </w:tc>
      </w:tr>
      <w:tr w:rsidR="00FD7D1D" w:rsidRPr="00857007" w14:paraId="779875B6" w14:textId="77777777" w:rsidTr="00FF68CE">
        <w:trPr>
          <w:trHeight w:val="216"/>
        </w:trPr>
        <w:tc>
          <w:tcPr>
            <w:tcW w:w="731" w:type="dxa"/>
            <w:vAlign w:val="center"/>
          </w:tcPr>
          <w:p w14:paraId="19B23F24"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2015</w:t>
            </w:r>
          </w:p>
        </w:tc>
        <w:tc>
          <w:tcPr>
            <w:tcW w:w="2110" w:type="dxa"/>
            <w:vAlign w:val="center"/>
          </w:tcPr>
          <w:p w14:paraId="662CF9E7"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1175</w:t>
            </w:r>
          </w:p>
        </w:tc>
        <w:tc>
          <w:tcPr>
            <w:tcW w:w="1529" w:type="dxa"/>
            <w:vAlign w:val="center"/>
          </w:tcPr>
          <w:p w14:paraId="667C0B1A"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169/788 (21%)</w:t>
            </w:r>
          </w:p>
        </w:tc>
        <w:tc>
          <w:tcPr>
            <w:tcW w:w="1435" w:type="dxa"/>
            <w:vAlign w:val="center"/>
          </w:tcPr>
          <w:p w14:paraId="3FC2CBC6"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69/317 (22%)</w:t>
            </w:r>
          </w:p>
        </w:tc>
        <w:tc>
          <w:tcPr>
            <w:tcW w:w="1703" w:type="dxa"/>
            <w:vAlign w:val="center"/>
          </w:tcPr>
          <w:p w14:paraId="2F1030EA"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57/221 (26%)</w:t>
            </w:r>
          </w:p>
        </w:tc>
        <w:tc>
          <w:tcPr>
            <w:tcW w:w="1757" w:type="dxa"/>
            <w:vAlign w:val="center"/>
          </w:tcPr>
          <w:p w14:paraId="1B314D83"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39%</w:t>
            </w:r>
          </w:p>
        </w:tc>
        <w:tc>
          <w:tcPr>
            <w:tcW w:w="1350" w:type="dxa"/>
            <w:vAlign w:val="center"/>
          </w:tcPr>
          <w:p w14:paraId="4D775F86"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22/81 (27%)</w:t>
            </w:r>
          </w:p>
        </w:tc>
      </w:tr>
      <w:tr w:rsidR="00FD7D1D" w:rsidRPr="00857007" w14:paraId="216B260F" w14:textId="77777777" w:rsidTr="00FF68CE">
        <w:trPr>
          <w:trHeight w:val="216"/>
        </w:trPr>
        <w:tc>
          <w:tcPr>
            <w:tcW w:w="731" w:type="dxa"/>
            <w:vAlign w:val="center"/>
          </w:tcPr>
          <w:p w14:paraId="2EE8C5BF"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2016</w:t>
            </w:r>
          </w:p>
        </w:tc>
        <w:tc>
          <w:tcPr>
            <w:tcW w:w="2110" w:type="dxa"/>
            <w:vAlign w:val="center"/>
          </w:tcPr>
          <w:p w14:paraId="32F70954"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1323</w:t>
            </w:r>
          </w:p>
        </w:tc>
        <w:tc>
          <w:tcPr>
            <w:tcW w:w="1529" w:type="dxa"/>
            <w:vAlign w:val="center"/>
          </w:tcPr>
          <w:p w14:paraId="4A2DA64B"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207/904 (23%)</w:t>
            </w:r>
          </w:p>
        </w:tc>
        <w:tc>
          <w:tcPr>
            <w:tcW w:w="1435" w:type="dxa"/>
            <w:vAlign w:val="center"/>
          </w:tcPr>
          <w:p w14:paraId="54516FB9"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68/315 (22%)</w:t>
            </w:r>
          </w:p>
        </w:tc>
        <w:tc>
          <w:tcPr>
            <w:tcW w:w="1703" w:type="dxa"/>
            <w:vAlign w:val="center"/>
          </w:tcPr>
          <w:p w14:paraId="5337FC4D"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61/252 (24%)</w:t>
            </w:r>
          </w:p>
        </w:tc>
        <w:tc>
          <w:tcPr>
            <w:tcW w:w="1757" w:type="dxa"/>
            <w:vAlign w:val="center"/>
          </w:tcPr>
          <w:p w14:paraId="25D6E5A0"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28%</w:t>
            </w:r>
          </w:p>
        </w:tc>
        <w:tc>
          <w:tcPr>
            <w:tcW w:w="1350" w:type="dxa"/>
            <w:vAlign w:val="center"/>
          </w:tcPr>
          <w:p w14:paraId="4033E1D3"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17/79 (22%)</w:t>
            </w:r>
          </w:p>
        </w:tc>
      </w:tr>
      <w:tr w:rsidR="00FD7D1D" w:rsidRPr="00857007" w14:paraId="27A6CE51" w14:textId="77777777" w:rsidTr="00FF68CE">
        <w:trPr>
          <w:trHeight w:val="216"/>
        </w:trPr>
        <w:tc>
          <w:tcPr>
            <w:tcW w:w="731" w:type="dxa"/>
            <w:vAlign w:val="center"/>
          </w:tcPr>
          <w:p w14:paraId="269FCF17"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2017</w:t>
            </w:r>
          </w:p>
        </w:tc>
        <w:tc>
          <w:tcPr>
            <w:tcW w:w="2110" w:type="dxa"/>
            <w:vAlign w:val="center"/>
          </w:tcPr>
          <w:p w14:paraId="5BD85D53" w14:textId="77777777" w:rsidR="00FD7D1D" w:rsidRPr="00857007" w:rsidRDefault="00FD7D1D" w:rsidP="00FF68CE">
            <w:pPr>
              <w:widowControl w:val="0"/>
              <w:jc w:val="center"/>
              <w:rPr>
                <w:rFonts w:ascii="Arial" w:hAnsi="Arial" w:cs="Arial"/>
                <w:sz w:val="18"/>
                <w:szCs w:val="18"/>
              </w:rPr>
            </w:pPr>
            <w:r w:rsidRPr="00857007">
              <w:rPr>
                <w:rFonts w:ascii="Arial" w:hAnsi="Arial" w:cs="Arial"/>
                <w:sz w:val="18"/>
                <w:szCs w:val="18"/>
              </w:rPr>
              <w:t>1275</w:t>
            </w:r>
          </w:p>
        </w:tc>
        <w:tc>
          <w:tcPr>
            <w:tcW w:w="1529" w:type="dxa"/>
            <w:vAlign w:val="center"/>
          </w:tcPr>
          <w:p w14:paraId="16812D4B"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206/868 (24%)</w:t>
            </w:r>
          </w:p>
        </w:tc>
        <w:tc>
          <w:tcPr>
            <w:tcW w:w="1435" w:type="dxa"/>
            <w:vAlign w:val="center"/>
          </w:tcPr>
          <w:p w14:paraId="74B35E8D"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80/353 (23%)</w:t>
            </w:r>
          </w:p>
        </w:tc>
        <w:tc>
          <w:tcPr>
            <w:tcW w:w="1703" w:type="dxa"/>
            <w:vAlign w:val="center"/>
          </w:tcPr>
          <w:p w14:paraId="203F2BEE"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52/220 (24%)</w:t>
            </w:r>
          </w:p>
        </w:tc>
        <w:tc>
          <w:tcPr>
            <w:tcW w:w="1757" w:type="dxa"/>
            <w:vAlign w:val="center"/>
          </w:tcPr>
          <w:p w14:paraId="328501BC"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44%</w:t>
            </w:r>
          </w:p>
        </w:tc>
        <w:tc>
          <w:tcPr>
            <w:tcW w:w="1350" w:type="dxa"/>
            <w:vAlign w:val="center"/>
          </w:tcPr>
          <w:p w14:paraId="33A04C95"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23/91 (25%)</w:t>
            </w:r>
          </w:p>
        </w:tc>
      </w:tr>
      <w:tr w:rsidR="00FD7D1D" w:rsidRPr="00857007" w14:paraId="5C9D19D1" w14:textId="77777777" w:rsidTr="00FF68CE">
        <w:trPr>
          <w:trHeight w:val="216"/>
        </w:trPr>
        <w:tc>
          <w:tcPr>
            <w:tcW w:w="731" w:type="dxa"/>
            <w:vAlign w:val="center"/>
          </w:tcPr>
          <w:p w14:paraId="4545B944"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2018</w:t>
            </w:r>
          </w:p>
        </w:tc>
        <w:tc>
          <w:tcPr>
            <w:tcW w:w="2110" w:type="dxa"/>
            <w:vAlign w:val="center"/>
          </w:tcPr>
          <w:p w14:paraId="1EE13641" w14:textId="77777777" w:rsidR="00FD7D1D" w:rsidRPr="00857007" w:rsidRDefault="00FD7D1D" w:rsidP="00FF68CE">
            <w:pPr>
              <w:widowControl w:val="0"/>
              <w:jc w:val="center"/>
              <w:rPr>
                <w:rFonts w:ascii="Arial" w:hAnsi="Arial" w:cs="Arial"/>
                <w:color w:val="000000" w:themeColor="text1"/>
                <w:sz w:val="18"/>
                <w:szCs w:val="18"/>
              </w:rPr>
            </w:pPr>
            <w:r w:rsidRPr="00857007">
              <w:rPr>
                <w:rFonts w:ascii="Arial" w:hAnsi="Arial" w:cs="Arial"/>
                <w:color w:val="000000" w:themeColor="text1"/>
                <w:sz w:val="18"/>
                <w:szCs w:val="18"/>
              </w:rPr>
              <w:t>1366</w:t>
            </w:r>
          </w:p>
        </w:tc>
        <w:tc>
          <w:tcPr>
            <w:tcW w:w="1529" w:type="dxa"/>
            <w:vAlign w:val="center"/>
          </w:tcPr>
          <w:p w14:paraId="40EB1934"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201/951 (21%)</w:t>
            </w:r>
          </w:p>
        </w:tc>
        <w:tc>
          <w:tcPr>
            <w:tcW w:w="1435" w:type="dxa"/>
            <w:vAlign w:val="center"/>
          </w:tcPr>
          <w:p w14:paraId="1632C592" w14:textId="77777777" w:rsidR="00FD7D1D" w:rsidRPr="00857007" w:rsidRDefault="00FD7D1D" w:rsidP="00FF68CE">
            <w:pPr>
              <w:widowControl w:val="0"/>
              <w:jc w:val="both"/>
              <w:rPr>
                <w:rFonts w:ascii="Arial" w:hAnsi="Arial" w:cs="Arial"/>
                <w:color w:val="000000" w:themeColor="text1"/>
                <w:sz w:val="18"/>
                <w:szCs w:val="18"/>
              </w:rPr>
            </w:pPr>
            <w:r w:rsidRPr="00857007">
              <w:rPr>
                <w:rFonts w:ascii="Arial" w:hAnsi="Arial" w:cs="Arial"/>
                <w:color w:val="000000" w:themeColor="text1"/>
                <w:sz w:val="18"/>
                <w:szCs w:val="18"/>
              </w:rPr>
              <w:t>64/266 (24%)</w:t>
            </w:r>
          </w:p>
        </w:tc>
        <w:tc>
          <w:tcPr>
            <w:tcW w:w="1703" w:type="dxa"/>
            <w:vAlign w:val="center"/>
          </w:tcPr>
          <w:p w14:paraId="34D2382C" w14:textId="77777777" w:rsidR="00FD7D1D" w:rsidRPr="00BC4DD9" w:rsidRDefault="00FD7D1D" w:rsidP="00FF68CE">
            <w:pPr>
              <w:widowControl w:val="0"/>
              <w:jc w:val="both"/>
              <w:rPr>
                <w:rFonts w:ascii="Arial" w:hAnsi="Arial" w:cs="Arial"/>
                <w:bCs/>
                <w:color w:val="000000" w:themeColor="text1"/>
                <w:sz w:val="18"/>
                <w:szCs w:val="18"/>
              </w:rPr>
            </w:pPr>
            <w:r w:rsidRPr="00BC4DD9">
              <w:rPr>
                <w:rFonts w:ascii="Arial" w:hAnsi="Arial" w:cs="Arial"/>
                <w:bCs/>
                <w:color w:val="000000" w:themeColor="text1"/>
                <w:sz w:val="18"/>
                <w:szCs w:val="18"/>
              </w:rPr>
              <w:t>54/232 (23%)</w:t>
            </w:r>
          </w:p>
        </w:tc>
        <w:tc>
          <w:tcPr>
            <w:tcW w:w="1757" w:type="dxa"/>
            <w:vAlign w:val="center"/>
          </w:tcPr>
          <w:p w14:paraId="7FC1CA6B" w14:textId="77777777" w:rsidR="00FD7D1D" w:rsidRPr="00BC4DD9" w:rsidRDefault="00FD7D1D" w:rsidP="00FF68CE">
            <w:pPr>
              <w:widowControl w:val="0"/>
              <w:jc w:val="center"/>
              <w:rPr>
                <w:rFonts w:ascii="Arial" w:hAnsi="Arial" w:cs="Arial"/>
                <w:bCs/>
                <w:color w:val="000000" w:themeColor="text1"/>
                <w:sz w:val="18"/>
                <w:szCs w:val="18"/>
              </w:rPr>
            </w:pPr>
            <w:r w:rsidRPr="00BC4DD9">
              <w:rPr>
                <w:rFonts w:ascii="Arial" w:hAnsi="Arial" w:cs="Arial"/>
                <w:bCs/>
                <w:color w:val="000000" w:themeColor="text1"/>
                <w:sz w:val="18"/>
                <w:szCs w:val="18"/>
              </w:rPr>
              <w:t>46%</w:t>
            </w:r>
          </w:p>
        </w:tc>
        <w:tc>
          <w:tcPr>
            <w:tcW w:w="1350" w:type="dxa"/>
            <w:vAlign w:val="center"/>
          </w:tcPr>
          <w:p w14:paraId="487F744A" w14:textId="77777777" w:rsidR="00FD7D1D" w:rsidRPr="00BC4DD9" w:rsidRDefault="00FD7D1D" w:rsidP="00FF68CE">
            <w:pPr>
              <w:widowControl w:val="0"/>
              <w:jc w:val="both"/>
              <w:rPr>
                <w:rFonts w:ascii="Arial" w:hAnsi="Arial" w:cs="Arial"/>
                <w:bCs/>
                <w:color w:val="000000" w:themeColor="text1"/>
                <w:sz w:val="18"/>
                <w:szCs w:val="18"/>
              </w:rPr>
            </w:pPr>
            <w:r w:rsidRPr="00BC4DD9">
              <w:rPr>
                <w:rFonts w:ascii="Arial" w:hAnsi="Arial" w:cs="Arial"/>
                <w:bCs/>
                <w:color w:val="000000" w:themeColor="text1"/>
                <w:sz w:val="18"/>
                <w:szCs w:val="18"/>
              </w:rPr>
              <w:t>25/78 (32%)</w:t>
            </w:r>
          </w:p>
        </w:tc>
      </w:tr>
      <w:tr w:rsidR="00BF498A" w:rsidRPr="00857007" w14:paraId="01F22058" w14:textId="77777777" w:rsidTr="00FF68CE">
        <w:trPr>
          <w:trHeight w:val="216"/>
        </w:trPr>
        <w:tc>
          <w:tcPr>
            <w:tcW w:w="731" w:type="dxa"/>
            <w:vAlign w:val="center"/>
          </w:tcPr>
          <w:p w14:paraId="387B6773" w14:textId="68604832" w:rsidR="00BF498A" w:rsidRPr="00BF498A" w:rsidRDefault="00BF498A" w:rsidP="00BF498A">
            <w:pPr>
              <w:widowControl w:val="0"/>
              <w:jc w:val="both"/>
              <w:rPr>
                <w:rFonts w:ascii="Arial" w:hAnsi="Arial" w:cs="Arial"/>
                <w:color w:val="000000" w:themeColor="text1"/>
                <w:sz w:val="18"/>
                <w:szCs w:val="18"/>
              </w:rPr>
            </w:pPr>
            <w:r w:rsidRPr="00BF498A">
              <w:rPr>
                <w:rFonts w:ascii="Arial" w:hAnsi="Arial" w:cs="Arial"/>
                <w:color w:val="000000" w:themeColor="text1"/>
                <w:sz w:val="18"/>
                <w:szCs w:val="18"/>
              </w:rPr>
              <w:t>2019</w:t>
            </w:r>
          </w:p>
        </w:tc>
        <w:tc>
          <w:tcPr>
            <w:tcW w:w="2110" w:type="dxa"/>
            <w:vAlign w:val="center"/>
          </w:tcPr>
          <w:p w14:paraId="713C88EE" w14:textId="6B356B0B" w:rsidR="00BF498A" w:rsidRPr="00BF498A" w:rsidRDefault="00BF498A" w:rsidP="00BF498A">
            <w:pPr>
              <w:widowControl w:val="0"/>
              <w:jc w:val="center"/>
              <w:rPr>
                <w:rFonts w:ascii="Arial" w:hAnsi="Arial" w:cs="Arial"/>
                <w:color w:val="000000" w:themeColor="text1"/>
                <w:sz w:val="18"/>
                <w:szCs w:val="18"/>
              </w:rPr>
            </w:pPr>
            <w:r>
              <w:rPr>
                <w:rFonts w:ascii="Arial" w:hAnsi="Arial" w:cs="Arial"/>
                <w:color w:val="000000" w:themeColor="text1"/>
                <w:sz w:val="18"/>
                <w:szCs w:val="18"/>
              </w:rPr>
              <w:t>1713</w:t>
            </w:r>
          </w:p>
        </w:tc>
        <w:tc>
          <w:tcPr>
            <w:tcW w:w="1529" w:type="dxa"/>
            <w:vAlign w:val="center"/>
          </w:tcPr>
          <w:p w14:paraId="3A5E10B7" w14:textId="024B18B9" w:rsidR="00BF498A" w:rsidRPr="00BF498A" w:rsidRDefault="00BF498A" w:rsidP="00BF498A">
            <w:pPr>
              <w:widowControl w:val="0"/>
              <w:jc w:val="both"/>
              <w:rPr>
                <w:rFonts w:ascii="Arial" w:hAnsi="Arial" w:cs="Arial"/>
                <w:color w:val="000000" w:themeColor="text1"/>
                <w:sz w:val="18"/>
                <w:szCs w:val="18"/>
              </w:rPr>
            </w:pPr>
            <w:r>
              <w:rPr>
                <w:rFonts w:ascii="Arial" w:hAnsi="Arial" w:cs="Arial"/>
                <w:color w:val="000000" w:themeColor="text1"/>
                <w:sz w:val="18"/>
                <w:szCs w:val="18"/>
              </w:rPr>
              <w:t>247/1096 (23%)</w:t>
            </w:r>
          </w:p>
        </w:tc>
        <w:tc>
          <w:tcPr>
            <w:tcW w:w="1435" w:type="dxa"/>
            <w:vAlign w:val="center"/>
          </w:tcPr>
          <w:p w14:paraId="45B418DE" w14:textId="160014F3" w:rsidR="00BF498A" w:rsidRPr="00BF498A" w:rsidRDefault="00BF498A" w:rsidP="00BF498A">
            <w:pPr>
              <w:widowControl w:val="0"/>
              <w:jc w:val="both"/>
              <w:rPr>
                <w:rFonts w:ascii="Arial" w:hAnsi="Arial" w:cs="Arial"/>
                <w:color w:val="000000" w:themeColor="text1"/>
                <w:sz w:val="18"/>
                <w:szCs w:val="18"/>
              </w:rPr>
            </w:pPr>
            <w:r>
              <w:rPr>
                <w:rFonts w:ascii="Arial" w:hAnsi="Arial" w:cs="Arial"/>
                <w:color w:val="000000" w:themeColor="text1"/>
                <w:sz w:val="18"/>
                <w:szCs w:val="18"/>
              </w:rPr>
              <w:t>77/314 (25%)</w:t>
            </w:r>
          </w:p>
        </w:tc>
        <w:tc>
          <w:tcPr>
            <w:tcW w:w="1703" w:type="dxa"/>
            <w:vAlign w:val="center"/>
          </w:tcPr>
          <w:p w14:paraId="292AD511" w14:textId="1C307A69" w:rsidR="00BF498A" w:rsidRPr="00BF498A" w:rsidRDefault="00BF498A" w:rsidP="00BF498A">
            <w:pPr>
              <w:widowControl w:val="0"/>
              <w:jc w:val="both"/>
              <w:rPr>
                <w:rFonts w:ascii="Arial" w:hAnsi="Arial" w:cs="Arial"/>
                <w:bCs/>
                <w:color w:val="000000" w:themeColor="text1"/>
                <w:sz w:val="18"/>
                <w:szCs w:val="18"/>
              </w:rPr>
            </w:pPr>
            <w:r w:rsidRPr="00BC4DD9">
              <w:rPr>
                <w:rFonts w:ascii="Arial" w:hAnsi="Arial" w:cs="Arial"/>
                <w:bCs/>
                <w:color w:val="000000" w:themeColor="text1"/>
                <w:sz w:val="18"/>
                <w:szCs w:val="18"/>
              </w:rPr>
              <w:t>58/239 (24%)</w:t>
            </w:r>
          </w:p>
        </w:tc>
        <w:tc>
          <w:tcPr>
            <w:tcW w:w="1757" w:type="dxa"/>
            <w:vAlign w:val="center"/>
          </w:tcPr>
          <w:p w14:paraId="6B3CAD89" w14:textId="0AD4C73E" w:rsidR="00BF498A" w:rsidRPr="00BF498A" w:rsidRDefault="00BF498A" w:rsidP="00BF498A">
            <w:pPr>
              <w:widowControl w:val="0"/>
              <w:jc w:val="center"/>
              <w:rPr>
                <w:rFonts w:ascii="Arial" w:hAnsi="Arial" w:cs="Arial"/>
                <w:bCs/>
                <w:color w:val="000000" w:themeColor="text1"/>
                <w:sz w:val="18"/>
                <w:szCs w:val="18"/>
              </w:rPr>
            </w:pPr>
            <w:r w:rsidRPr="00BF498A">
              <w:rPr>
                <w:rFonts w:ascii="Arial" w:hAnsi="Arial" w:cs="Arial"/>
                <w:color w:val="000000" w:themeColor="text1"/>
                <w:sz w:val="18"/>
                <w:szCs w:val="18"/>
              </w:rPr>
              <w:t>22%</w:t>
            </w:r>
          </w:p>
        </w:tc>
        <w:tc>
          <w:tcPr>
            <w:tcW w:w="1350" w:type="dxa"/>
            <w:vAlign w:val="center"/>
          </w:tcPr>
          <w:p w14:paraId="11DA6219" w14:textId="1FEC58BD" w:rsidR="00BF498A" w:rsidRPr="00BF498A" w:rsidRDefault="00BF498A" w:rsidP="00BF498A">
            <w:pPr>
              <w:widowControl w:val="0"/>
              <w:jc w:val="both"/>
              <w:rPr>
                <w:rFonts w:ascii="Arial" w:hAnsi="Arial" w:cs="Arial"/>
                <w:bCs/>
                <w:color w:val="000000" w:themeColor="text1"/>
                <w:sz w:val="18"/>
                <w:szCs w:val="18"/>
              </w:rPr>
            </w:pPr>
            <w:r w:rsidRPr="00BF498A">
              <w:rPr>
                <w:rFonts w:ascii="Arial" w:hAnsi="Arial" w:cs="Arial"/>
                <w:color w:val="000000" w:themeColor="text1"/>
                <w:sz w:val="18"/>
                <w:szCs w:val="18"/>
              </w:rPr>
              <w:t>13/96 (14%)</w:t>
            </w:r>
          </w:p>
        </w:tc>
      </w:tr>
      <w:tr w:rsidR="00BF498A" w:rsidRPr="00C219FD" w14:paraId="3E9834BC" w14:textId="77777777" w:rsidTr="00FF68CE">
        <w:trPr>
          <w:trHeight w:val="216"/>
        </w:trPr>
        <w:tc>
          <w:tcPr>
            <w:tcW w:w="731" w:type="dxa"/>
            <w:shd w:val="clear" w:color="auto" w:fill="DBE5F1" w:themeFill="accent1" w:themeFillTint="33"/>
            <w:vAlign w:val="center"/>
          </w:tcPr>
          <w:p w14:paraId="168EBDE5" w14:textId="23D32E91" w:rsidR="00BF498A" w:rsidRPr="00C219FD" w:rsidRDefault="00BF498A" w:rsidP="00BF498A">
            <w:pPr>
              <w:widowControl w:val="0"/>
              <w:jc w:val="both"/>
              <w:rPr>
                <w:rFonts w:ascii="Arial" w:hAnsi="Arial" w:cs="Arial"/>
                <w:color w:val="000000" w:themeColor="text1"/>
                <w:sz w:val="18"/>
                <w:szCs w:val="18"/>
              </w:rPr>
            </w:pPr>
            <w:r>
              <w:rPr>
                <w:rFonts w:ascii="Arial" w:hAnsi="Arial" w:cs="Arial"/>
                <w:color w:val="000000" w:themeColor="text1"/>
                <w:sz w:val="18"/>
                <w:szCs w:val="18"/>
              </w:rPr>
              <w:t>2020</w:t>
            </w:r>
          </w:p>
        </w:tc>
        <w:tc>
          <w:tcPr>
            <w:tcW w:w="2110" w:type="dxa"/>
            <w:shd w:val="clear" w:color="auto" w:fill="DBE5F1" w:themeFill="accent1" w:themeFillTint="33"/>
            <w:vAlign w:val="center"/>
          </w:tcPr>
          <w:p w14:paraId="7D17C4AB" w14:textId="29A7BE25" w:rsidR="00BF498A" w:rsidRPr="00C219FD" w:rsidRDefault="00BF498A" w:rsidP="00BF498A">
            <w:pPr>
              <w:widowControl w:val="0"/>
              <w:jc w:val="center"/>
              <w:rPr>
                <w:rFonts w:ascii="Arial" w:hAnsi="Arial" w:cs="Arial"/>
                <w:color w:val="000000" w:themeColor="text1"/>
                <w:sz w:val="18"/>
                <w:szCs w:val="18"/>
              </w:rPr>
            </w:pPr>
            <w:r>
              <w:rPr>
                <w:rFonts w:ascii="Arial" w:hAnsi="Arial" w:cs="Arial"/>
                <w:color w:val="000000" w:themeColor="text1"/>
                <w:sz w:val="18"/>
                <w:szCs w:val="18"/>
              </w:rPr>
              <w:t>1903</w:t>
            </w:r>
          </w:p>
        </w:tc>
        <w:tc>
          <w:tcPr>
            <w:tcW w:w="1529" w:type="dxa"/>
            <w:shd w:val="clear" w:color="auto" w:fill="DBE5F1" w:themeFill="accent1" w:themeFillTint="33"/>
            <w:vAlign w:val="center"/>
          </w:tcPr>
          <w:p w14:paraId="13E0C318" w14:textId="2A1031AF" w:rsidR="00BF498A" w:rsidRPr="00C219FD" w:rsidRDefault="00BF498A" w:rsidP="00BF498A">
            <w:pPr>
              <w:widowControl w:val="0"/>
              <w:jc w:val="both"/>
              <w:rPr>
                <w:rFonts w:ascii="Arial" w:hAnsi="Arial" w:cs="Arial"/>
                <w:color w:val="000000" w:themeColor="text1"/>
                <w:sz w:val="18"/>
                <w:szCs w:val="18"/>
              </w:rPr>
            </w:pPr>
            <w:r>
              <w:rPr>
                <w:rFonts w:ascii="Arial" w:hAnsi="Arial" w:cs="Arial"/>
                <w:color w:val="000000" w:themeColor="text1"/>
                <w:sz w:val="18"/>
                <w:szCs w:val="18"/>
              </w:rPr>
              <w:t>298/1292 (23%)</w:t>
            </w:r>
          </w:p>
        </w:tc>
        <w:tc>
          <w:tcPr>
            <w:tcW w:w="1435" w:type="dxa"/>
            <w:shd w:val="clear" w:color="auto" w:fill="DBE5F1" w:themeFill="accent1" w:themeFillTint="33"/>
            <w:vAlign w:val="center"/>
          </w:tcPr>
          <w:p w14:paraId="30A923A5" w14:textId="5373207E" w:rsidR="00BF498A" w:rsidRPr="00C219FD" w:rsidRDefault="00BF498A" w:rsidP="00BF498A">
            <w:pPr>
              <w:widowControl w:val="0"/>
              <w:jc w:val="both"/>
              <w:rPr>
                <w:rFonts w:ascii="Arial" w:hAnsi="Arial" w:cs="Arial"/>
                <w:color w:val="000000" w:themeColor="text1"/>
                <w:sz w:val="18"/>
                <w:szCs w:val="18"/>
              </w:rPr>
            </w:pPr>
            <w:r>
              <w:rPr>
                <w:rFonts w:ascii="Arial" w:hAnsi="Arial" w:cs="Arial"/>
                <w:color w:val="000000" w:themeColor="text1"/>
                <w:sz w:val="18"/>
                <w:szCs w:val="18"/>
              </w:rPr>
              <w:t>82/308 (27%)</w:t>
            </w:r>
          </w:p>
        </w:tc>
        <w:tc>
          <w:tcPr>
            <w:tcW w:w="1703" w:type="dxa"/>
            <w:shd w:val="clear" w:color="auto" w:fill="DBE5F1" w:themeFill="accent1" w:themeFillTint="33"/>
            <w:vAlign w:val="center"/>
          </w:tcPr>
          <w:p w14:paraId="63C9460F" w14:textId="1EF4BFEF" w:rsidR="00BF498A" w:rsidRPr="00BC4DD9" w:rsidRDefault="00BF498A" w:rsidP="00BF498A">
            <w:pPr>
              <w:widowControl w:val="0"/>
              <w:jc w:val="both"/>
              <w:rPr>
                <w:rFonts w:ascii="Arial" w:hAnsi="Arial" w:cs="Arial"/>
                <w:bCs/>
                <w:color w:val="000000" w:themeColor="text1"/>
                <w:sz w:val="18"/>
                <w:szCs w:val="18"/>
              </w:rPr>
            </w:pPr>
            <w:r>
              <w:rPr>
                <w:rFonts w:ascii="Arial" w:hAnsi="Arial" w:cs="Arial"/>
                <w:bCs/>
                <w:color w:val="000000" w:themeColor="text1"/>
                <w:sz w:val="18"/>
                <w:szCs w:val="18"/>
              </w:rPr>
              <w:t>69</w:t>
            </w:r>
            <w:r w:rsidRPr="00BC4DD9">
              <w:rPr>
                <w:rFonts w:ascii="Arial" w:hAnsi="Arial" w:cs="Arial"/>
                <w:bCs/>
                <w:color w:val="000000" w:themeColor="text1"/>
                <w:sz w:val="18"/>
                <w:szCs w:val="18"/>
              </w:rPr>
              <w:t>/2</w:t>
            </w:r>
            <w:r>
              <w:rPr>
                <w:rFonts w:ascii="Arial" w:hAnsi="Arial" w:cs="Arial"/>
                <w:bCs/>
                <w:color w:val="000000" w:themeColor="text1"/>
                <w:sz w:val="18"/>
                <w:szCs w:val="18"/>
              </w:rPr>
              <w:t>60 (27</w:t>
            </w:r>
            <w:r w:rsidRPr="00BC4DD9">
              <w:rPr>
                <w:rFonts w:ascii="Arial" w:hAnsi="Arial" w:cs="Arial"/>
                <w:bCs/>
                <w:color w:val="000000" w:themeColor="text1"/>
                <w:sz w:val="18"/>
                <w:szCs w:val="18"/>
              </w:rPr>
              <w:t>%)</w:t>
            </w:r>
          </w:p>
        </w:tc>
        <w:tc>
          <w:tcPr>
            <w:tcW w:w="1757" w:type="dxa"/>
            <w:shd w:val="clear" w:color="auto" w:fill="DBE5F1" w:themeFill="accent1" w:themeFillTint="33"/>
            <w:vAlign w:val="center"/>
          </w:tcPr>
          <w:p w14:paraId="3B91947A" w14:textId="138B269D" w:rsidR="00BF498A" w:rsidRPr="00BC4DD9" w:rsidRDefault="00BF498A" w:rsidP="00BF498A">
            <w:pPr>
              <w:widowControl w:val="0"/>
              <w:jc w:val="center"/>
              <w:rPr>
                <w:rFonts w:ascii="Arial" w:hAnsi="Arial" w:cs="Arial"/>
                <w:b/>
                <w:color w:val="000000" w:themeColor="text1"/>
                <w:sz w:val="18"/>
                <w:szCs w:val="18"/>
              </w:rPr>
            </w:pPr>
            <w:r>
              <w:rPr>
                <w:rFonts w:ascii="Arial" w:hAnsi="Arial" w:cs="Arial"/>
                <w:b/>
                <w:color w:val="000000" w:themeColor="text1"/>
                <w:sz w:val="18"/>
                <w:szCs w:val="18"/>
              </w:rPr>
              <w:t>36</w:t>
            </w:r>
            <w:r w:rsidRPr="00BC4DD9">
              <w:rPr>
                <w:rFonts w:ascii="Arial" w:hAnsi="Arial" w:cs="Arial"/>
                <w:b/>
                <w:color w:val="000000" w:themeColor="text1"/>
                <w:sz w:val="18"/>
                <w:szCs w:val="18"/>
              </w:rPr>
              <w:t>%</w:t>
            </w:r>
          </w:p>
        </w:tc>
        <w:tc>
          <w:tcPr>
            <w:tcW w:w="1350" w:type="dxa"/>
            <w:shd w:val="clear" w:color="auto" w:fill="DBE5F1" w:themeFill="accent1" w:themeFillTint="33"/>
            <w:vAlign w:val="center"/>
          </w:tcPr>
          <w:p w14:paraId="5AF9DCCB" w14:textId="6EB9FA13" w:rsidR="00BF498A" w:rsidRPr="00BC4DD9" w:rsidRDefault="00BF498A" w:rsidP="00BF498A">
            <w:pPr>
              <w:widowControl w:val="0"/>
              <w:jc w:val="both"/>
              <w:rPr>
                <w:rFonts w:ascii="Arial" w:hAnsi="Arial" w:cs="Arial"/>
                <w:b/>
                <w:color w:val="000000" w:themeColor="text1"/>
                <w:sz w:val="18"/>
                <w:szCs w:val="18"/>
              </w:rPr>
            </w:pPr>
            <w:r>
              <w:rPr>
                <w:rFonts w:ascii="Arial" w:hAnsi="Arial" w:cs="Arial"/>
                <w:b/>
                <w:color w:val="000000" w:themeColor="text1"/>
                <w:sz w:val="18"/>
                <w:szCs w:val="18"/>
              </w:rPr>
              <w:t>25/99 (25</w:t>
            </w:r>
            <w:r w:rsidRPr="00BC4DD9">
              <w:rPr>
                <w:rFonts w:ascii="Arial" w:hAnsi="Arial" w:cs="Arial"/>
                <w:b/>
                <w:color w:val="000000" w:themeColor="text1"/>
                <w:sz w:val="18"/>
                <w:szCs w:val="18"/>
              </w:rPr>
              <w:t>%)</w:t>
            </w:r>
          </w:p>
        </w:tc>
      </w:tr>
      <w:tr w:rsidR="00BF498A" w:rsidRPr="00857007" w14:paraId="633187B1" w14:textId="77777777" w:rsidTr="00FF68CE">
        <w:trPr>
          <w:trHeight w:val="144"/>
        </w:trPr>
        <w:tc>
          <w:tcPr>
            <w:tcW w:w="10615" w:type="dxa"/>
            <w:gridSpan w:val="7"/>
            <w:vAlign w:val="bottom"/>
          </w:tcPr>
          <w:p w14:paraId="11F44616" w14:textId="1102AF51" w:rsidR="00BF498A" w:rsidRPr="00857007" w:rsidRDefault="00BF498A" w:rsidP="00BF498A">
            <w:pPr>
              <w:pStyle w:val="Header"/>
              <w:widowControl w:val="0"/>
              <w:tabs>
                <w:tab w:val="left" w:pos="1440"/>
                <w:tab w:val="left" w:pos="6570"/>
              </w:tabs>
              <w:jc w:val="both"/>
              <w:rPr>
                <w:rFonts w:ascii="Arial" w:hAnsi="Arial" w:cs="Arial"/>
                <w:bCs/>
                <w:i/>
                <w:sz w:val="18"/>
                <w:szCs w:val="18"/>
              </w:rPr>
            </w:pPr>
            <w:r w:rsidRPr="00857007">
              <w:rPr>
                <w:rFonts w:ascii="Arial" w:hAnsi="Arial" w:cs="Arial"/>
                <w:bCs/>
                <w:i/>
                <w:sz w:val="18"/>
                <w:szCs w:val="18"/>
              </w:rPr>
              <w:t xml:space="preserve">Totals represent the domestic pool of BBSP applicants. Applications from international applicants are only reflected in the “All Applications” column. </w:t>
            </w:r>
          </w:p>
        </w:tc>
      </w:tr>
    </w:tbl>
    <w:p w14:paraId="30993038" w14:textId="77777777" w:rsidR="006C5DF1" w:rsidRDefault="006C5DF1" w:rsidP="00381A7F">
      <w:pPr>
        <w:autoSpaceDE w:val="0"/>
        <w:autoSpaceDN w:val="0"/>
        <w:adjustRightInd w:val="0"/>
      </w:pPr>
    </w:p>
    <w:p w14:paraId="3C43AC00" w14:textId="77777777" w:rsidR="00CE7A95" w:rsidRPr="00B55F3D" w:rsidRDefault="00CE7A95" w:rsidP="00381A7F">
      <w:pPr>
        <w:autoSpaceDE w:val="0"/>
        <w:autoSpaceDN w:val="0"/>
        <w:adjustRightInd w:val="0"/>
        <w:rPr>
          <w:b/>
        </w:rPr>
      </w:pPr>
      <w:r w:rsidRPr="00B55F3D">
        <w:rPr>
          <w:b/>
        </w:rPr>
        <w:t>Underrepresented Student Retention and Graduation Summary</w:t>
      </w:r>
    </w:p>
    <w:p w14:paraId="741A5488" w14:textId="722816F5" w:rsidR="00B55F3D" w:rsidRDefault="00E605F7" w:rsidP="00381A7F">
      <w:pPr>
        <w:autoSpaceDE w:val="0"/>
        <w:autoSpaceDN w:val="0"/>
        <w:adjustRightInd w:val="0"/>
      </w:pPr>
      <w:r w:rsidRPr="00E605F7">
        <w:rPr>
          <w:noProof/>
        </w:rPr>
        <w:drawing>
          <wp:anchor distT="0" distB="0" distL="114300" distR="114300" simplePos="0" relativeHeight="251660288" behindDoc="1" locked="0" layoutInCell="1" allowOverlap="1" wp14:anchorId="3AC7405B" wp14:editId="39286553">
            <wp:simplePos x="0" y="0"/>
            <wp:positionH relativeFrom="column">
              <wp:posOffset>2831492</wp:posOffset>
            </wp:positionH>
            <wp:positionV relativeFrom="paragraph">
              <wp:posOffset>440690</wp:posOffset>
            </wp:positionV>
            <wp:extent cx="3965575" cy="2487295"/>
            <wp:effectExtent l="0" t="0" r="0" b="0"/>
            <wp:wrapSquare wrapText="bothSides"/>
            <wp:docPr id="5" name="Picture 4">
              <a:extLst xmlns:a="http://schemas.openxmlformats.org/drawingml/2006/main">
                <a:ext uri="{FF2B5EF4-FFF2-40B4-BE49-F238E27FC236}">
                  <a16:creationId xmlns:a16="http://schemas.microsoft.com/office/drawing/2014/main" id="{2FFE003F-3823-5F47-8650-E91A2939C4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FFE003F-3823-5F47-8650-E91A2939C462}"/>
                        </a:ext>
                      </a:extLst>
                    </pic:cNvPr>
                    <pic:cNvPicPr>
                      <a:picLocks noChangeAspect="1"/>
                    </pic:cNvPicPr>
                  </pic:nvPicPr>
                  <pic:blipFill>
                    <a:blip r:embed="rId7"/>
                    <a:stretch>
                      <a:fillRect/>
                    </a:stretch>
                  </pic:blipFill>
                  <pic:spPr>
                    <a:xfrm>
                      <a:off x="0" y="0"/>
                      <a:ext cx="3965575" cy="2487295"/>
                    </a:xfrm>
                    <a:prstGeom prst="rect">
                      <a:avLst/>
                    </a:prstGeom>
                  </pic:spPr>
                </pic:pic>
              </a:graphicData>
            </a:graphic>
            <wp14:sizeRelH relativeFrom="page">
              <wp14:pctWidth>0</wp14:pctWidth>
            </wp14:sizeRelH>
            <wp14:sizeRelV relativeFrom="page">
              <wp14:pctHeight>0</wp14:pctHeight>
            </wp14:sizeRelV>
          </wp:anchor>
        </w:drawing>
      </w:r>
      <w:r w:rsidR="00B55F3D">
        <w:t>The OGE closely monitors UR student progress. Gratifyingly, soon after the institution of OGE and the</w:t>
      </w:r>
      <w:r w:rsidR="005B06B9">
        <w:t xml:space="preserve"> IMSD</w:t>
      </w:r>
      <w:r w:rsidR="00B55F3D">
        <w:t xml:space="preserve">, UR student success rapidly matched non-UR students </w:t>
      </w:r>
      <w:r w:rsidR="005B06B9">
        <w:t xml:space="preserve">(see </w:t>
      </w:r>
      <w:r w:rsidR="00BD295C">
        <w:t>graph below</w:t>
      </w:r>
      <w:r w:rsidR="005B06B9">
        <w:t xml:space="preserve">). Moreover, the overall </w:t>
      </w:r>
      <w:r w:rsidR="004E3536">
        <w:t xml:space="preserve">UNC student </w:t>
      </w:r>
      <w:r w:rsidR="005B06B9">
        <w:t>success rate</w:t>
      </w:r>
      <w:r w:rsidR="004E3536">
        <w:t>s for both UR and non-UR students</w:t>
      </w:r>
      <w:r w:rsidR="0029077A">
        <w:t xml:space="preserve"> (&gt;85%)</w:t>
      </w:r>
      <w:r w:rsidR="005B06B9">
        <w:t xml:space="preserve"> – measured by the percentage of the matriculating class that has graduated with a PhD or is still on-track to graduate – </w:t>
      </w:r>
      <w:r w:rsidR="004E3536">
        <w:t>are</w:t>
      </w:r>
      <w:r w:rsidR="005B06B9">
        <w:t xml:space="preserve"> </w:t>
      </w:r>
      <w:r w:rsidR="005B06B9" w:rsidRPr="004E3536">
        <w:rPr>
          <w:i/>
          <w:u w:val="single"/>
        </w:rPr>
        <w:t>substantially higher than recently reported national average</w:t>
      </w:r>
      <w:r w:rsidR="004E3536">
        <w:t>s</w:t>
      </w:r>
      <w:r w:rsidR="005B06B9">
        <w:t xml:space="preserve">. </w:t>
      </w:r>
      <w:r w:rsidR="008C3042">
        <w:t xml:space="preserve">According to reports from the Council of Graduate Schools, “Doctoral Initiative on Minority Attrition and Completion,” which analyzed </w:t>
      </w:r>
      <w:r w:rsidR="004E3536">
        <w:t>STEM doctoral students who matriculated between 1992/1993 and 2011/2012, the 7-year completion rate for all UR life science students was just 50-58%. The 2008 PhD Completion Project report indicates that the degree completion rate for all life sciences students is 59-69%.  The vast majority of UNC PhD student</w:t>
      </w:r>
      <w:r w:rsidR="00ED6108">
        <w:t>s</w:t>
      </w:r>
      <w:r w:rsidR="004E3536">
        <w:t xml:space="preserve"> complete their degrees, UR students complete at close to the s</w:t>
      </w:r>
      <w:r w:rsidR="00E116ED">
        <w:t>ame rate as their non-UR peers</w:t>
      </w:r>
      <w:r w:rsidR="004E3536">
        <w:t>, and most BBSP-affiliated PhD programs require at least on</w:t>
      </w:r>
      <w:r w:rsidR="00ED6108">
        <w:t>e</w:t>
      </w:r>
      <w:r w:rsidR="004E3536">
        <w:t xml:space="preserve"> first-authored publication in press by the time of graduation</w:t>
      </w:r>
      <w:r w:rsidR="00E502B2">
        <w:t xml:space="preserve">. </w:t>
      </w:r>
      <w:r w:rsidR="006C2F82">
        <w:rPr>
          <w:bCs/>
        </w:rPr>
        <w:t xml:space="preserve"> </w:t>
      </w:r>
      <w:r w:rsidR="00E502B2" w:rsidRPr="00F57519">
        <w:t xml:space="preserve">Indeed, </w:t>
      </w:r>
      <w:r w:rsidR="00E502B2" w:rsidRPr="00F57519">
        <w:rPr>
          <w:i/>
        </w:rPr>
        <w:t>Diverse Issues in Higher Education</w:t>
      </w:r>
      <w:r w:rsidR="00E502B2" w:rsidRPr="00F57519">
        <w:t xml:space="preserve"> recently (December 2019) ranked </w:t>
      </w:r>
      <w:r w:rsidR="00E502B2" w:rsidRPr="00021C31">
        <w:rPr>
          <w:bCs/>
          <w:i/>
          <w:iCs/>
          <w:u w:val="single"/>
        </w:rPr>
        <w:t>UNC Chapel Hill 1</w:t>
      </w:r>
      <w:r w:rsidR="00E502B2" w:rsidRPr="00021C31">
        <w:rPr>
          <w:bCs/>
          <w:i/>
          <w:iCs/>
          <w:u w:val="single"/>
          <w:vertAlign w:val="superscript"/>
        </w:rPr>
        <w:t>st</w:t>
      </w:r>
      <w:r w:rsidR="00E502B2" w:rsidRPr="00021C31">
        <w:rPr>
          <w:bCs/>
          <w:i/>
          <w:iCs/>
          <w:u w:val="single"/>
        </w:rPr>
        <w:t xml:space="preserve"> nationally for PhD completion by African-American scholars in the biological and biomedical sciences, 8</w:t>
      </w:r>
      <w:r w:rsidR="00E502B2" w:rsidRPr="00021C31">
        <w:rPr>
          <w:bCs/>
          <w:i/>
          <w:iCs/>
          <w:u w:val="single"/>
          <w:vertAlign w:val="superscript"/>
        </w:rPr>
        <w:t>th</w:t>
      </w:r>
      <w:r w:rsidR="00E502B2" w:rsidRPr="00021C31">
        <w:rPr>
          <w:bCs/>
          <w:i/>
          <w:iCs/>
          <w:u w:val="single"/>
        </w:rPr>
        <w:t xml:space="preserve"> nationally for PhD completion (in these fields) by Hispanic</w:t>
      </w:r>
      <w:r w:rsidR="00E502B2">
        <w:rPr>
          <w:bCs/>
          <w:i/>
          <w:iCs/>
          <w:u w:val="single"/>
        </w:rPr>
        <w:t>/Latinx</w:t>
      </w:r>
      <w:r w:rsidR="00E502B2" w:rsidRPr="00021C31">
        <w:rPr>
          <w:bCs/>
          <w:i/>
          <w:iCs/>
          <w:u w:val="single"/>
        </w:rPr>
        <w:t xml:space="preserve"> scholars, and 3</w:t>
      </w:r>
      <w:r w:rsidR="00E502B2" w:rsidRPr="00021C31">
        <w:rPr>
          <w:bCs/>
          <w:i/>
          <w:iCs/>
          <w:u w:val="single"/>
          <w:vertAlign w:val="superscript"/>
        </w:rPr>
        <w:t>rd</w:t>
      </w:r>
      <w:r w:rsidR="00E502B2" w:rsidRPr="00021C31">
        <w:rPr>
          <w:bCs/>
          <w:i/>
          <w:iCs/>
          <w:u w:val="single"/>
        </w:rPr>
        <w:t xml:space="preserve"> nationally for total minority PhD </w:t>
      </w:r>
      <w:r w:rsidR="00E502B2" w:rsidRPr="00021C31">
        <w:rPr>
          <w:bCs/>
          <w:i/>
          <w:iCs/>
          <w:u w:val="single"/>
        </w:rPr>
        <w:lastRenderedPageBreak/>
        <w:t>completion in the biological and biomedical sciences</w:t>
      </w:r>
      <w:r w:rsidR="00E502B2" w:rsidRPr="00F57519">
        <w:rPr>
          <w:bCs/>
        </w:rPr>
        <w:t xml:space="preserve"> (</w:t>
      </w:r>
      <w:hyperlink r:id="rId8" w:history="1">
        <w:r w:rsidR="00E502B2" w:rsidRPr="00F57519">
          <w:rPr>
            <w:rStyle w:val="Hyperlink"/>
            <w:bCs/>
          </w:rPr>
          <w:t>link to website</w:t>
        </w:r>
      </w:hyperlink>
      <w:r w:rsidR="00E502B2" w:rsidRPr="00F57519">
        <w:rPr>
          <w:bCs/>
        </w:rPr>
        <w:t xml:space="preserve">). </w:t>
      </w:r>
      <w:r w:rsidR="0029077A">
        <w:t>Moreover, t</w:t>
      </w:r>
      <w:r w:rsidR="00AB0E2E">
        <w:t>he</w:t>
      </w:r>
      <w:r w:rsidR="00E116ED">
        <w:t xml:space="preserve"> time-to-degree for all BBSP-entered students is currently </w:t>
      </w:r>
      <w:r w:rsidR="009E437A">
        <w:t>~</w:t>
      </w:r>
      <w:r w:rsidR="00E116ED">
        <w:t>5.</w:t>
      </w:r>
      <w:r w:rsidR="00C42570">
        <w:t>5</w:t>
      </w:r>
      <w:r w:rsidR="00C74D8A">
        <w:t xml:space="preserve"> years.</w:t>
      </w:r>
    </w:p>
    <w:p w14:paraId="3129D2E1" w14:textId="77777777" w:rsidR="00520A8B" w:rsidRPr="004E3536" w:rsidRDefault="00520A8B" w:rsidP="004E3536">
      <w:pPr>
        <w:autoSpaceDE w:val="0"/>
        <w:autoSpaceDN w:val="0"/>
        <w:adjustRightInd w:val="0"/>
      </w:pPr>
    </w:p>
    <w:p w14:paraId="2C8BC3C0" w14:textId="327301E1" w:rsidR="00CE7A95" w:rsidRPr="00CE7A95" w:rsidRDefault="00CE7A95" w:rsidP="00CE7A95">
      <w:pPr>
        <w:autoSpaceDE w:val="0"/>
        <w:autoSpaceDN w:val="0"/>
        <w:adjustRightInd w:val="0"/>
        <w:rPr>
          <w:rFonts w:ascii="ArialMT" w:eastAsia="Calibri" w:hAnsi="ArialMT" w:cs="ArialMT"/>
          <w:b/>
        </w:rPr>
      </w:pPr>
      <w:r w:rsidRPr="00CE7A95">
        <w:rPr>
          <w:rFonts w:ascii="ArialMT" w:eastAsia="Calibri" w:hAnsi="ArialMT" w:cs="ArialMT"/>
          <w:b/>
        </w:rPr>
        <w:t xml:space="preserve">Proposed </w:t>
      </w:r>
      <w:r w:rsidR="00BF498A">
        <w:rPr>
          <w:rFonts w:ascii="ArialMT" w:eastAsia="Calibri" w:hAnsi="ArialMT" w:cs="ArialMT"/>
          <w:b/>
        </w:rPr>
        <w:t>P</w:t>
      </w:r>
      <w:r w:rsidRPr="00CE7A95">
        <w:rPr>
          <w:rFonts w:ascii="ArialMT" w:eastAsia="Calibri" w:hAnsi="ArialMT" w:cs="ArialMT"/>
          <w:b/>
        </w:rPr>
        <w:t>lans for Recruitment</w:t>
      </w:r>
    </w:p>
    <w:p w14:paraId="08E17791" w14:textId="7CA00BE3" w:rsidR="00520A8B" w:rsidRPr="00464AF2" w:rsidRDefault="00520A8B" w:rsidP="00520A8B">
      <w:r w:rsidRPr="00381A7F">
        <w:t xml:space="preserve">Though the </w:t>
      </w:r>
      <w:r w:rsidR="00CC1F01">
        <w:t>cumulative</w:t>
      </w:r>
      <w:r w:rsidRPr="00381A7F">
        <w:t xml:space="preserve"> increase in UR recruitment is encouraging, the process of establishing the best UR recruitment </w:t>
      </w:r>
      <w:r w:rsidR="00CC1F01">
        <w:t xml:space="preserve">practices </w:t>
      </w:r>
      <w:r w:rsidRPr="00381A7F">
        <w:t>for the sciences is an ongoing one.</w:t>
      </w:r>
      <w:r w:rsidR="00381A7F" w:rsidRPr="00381A7F">
        <w:t xml:space="preserve"> </w:t>
      </w:r>
      <w:r w:rsidRPr="00381A7F">
        <w:t>The philosophy at UNC is that outstanding UR recruitment is built from the ground up through multi-faceted development of individual, community, and outreach relationships.</w:t>
      </w:r>
      <w:r w:rsidR="00381A7F" w:rsidRPr="00381A7F">
        <w:t xml:space="preserve"> </w:t>
      </w:r>
      <w:r w:rsidRPr="00381A7F">
        <w:t xml:space="preserve">Notably, many of the training faculty in </w:t>
      </w:r>
      <w:r w:rsidRPr="00381A7F">
        <w:rPr>
          <w:highlight w:val="yellow"/>
        </w:rPr>
        <w:t>“</w:t>
      </w:r>
      <w:r w:rsidRPr="00381A7F">
        <w:rPr>
          <w:b/>
          <w:highlight w:val="yellow"/>
        </w:rPr>
        <w:t>XXXXX”</w:t>
      </w:r>
      <w:r w:rsidRPr="00381A7F">
        <w:t xml:space="preserve"> and their students are involved in these activitie</w:t>
      </w:r>
      <w:r w:rsidRPr="00CE7A95">
        <w:t>s.</w:t>
      </w:r>
      <w:r w:rsidR="00381A7F" w:rsidRPr="00CE7A95">
        <w:t xml:space="preserve"> </w:t>
      </w:r>
      <w:r w:rsidR="00CE7A95" w:rsidRPr="00CE7A95">
        <w:t>The programs developed so far include OGE-coordinated outreach by graduate students to high school students and the community</w:t>
      </w:r>
      <w:r w:rsidRPr="00CE7A95">
        <w:t>, summer research programs, a Postbaccalaurea</w:t>
      </w:r>
      <w:r w:rsidRPr="00381A7F">
        <w:t>te (PREP) Program, and the SPIRE fellowship program which places UNC postdoctoral fellows in North Carolina Minority Serving Institutions (MSIs).</w:t>
      </w:r>
      <w:r w:rsidR="00381A7F" w:rsidRPr="00381A7F">
        <w:t xml:space="preserve"> </w:t>
      </w:r>
      <w:r w:rsidRPr="00381A7F">
        <w:t xml:space="preserve">The OGE maintains a </w:t>
      </w:r>
      <w:r w:rsidRPr="00464AF2">
        <w:t>database tracking UR recruitment</w:t>
      </w:r>
      <w:r w:rsidR="00CE7A95" w:rsidRPr="00464AF2">
        <w:t>, a</w:t>
      </w:r>
      <w:r w:rsidRPr="00464AF2">
        <w:t xml:space="preserve">pplicant competitiveness and the undergraduate institutions applicants attended </w:t>
      </w:r>
      <w:r w:rsidR="00CE7A95" w:rsidRPr="00464AF2">
        <w:t xml:space="preserve">which is </w:t>
      </w:r>
      <w:r w:rsidRPr="00464AF2">
        <w:t>analyzed to determine how recruitment efforts are working.</w:t>
      </w:r>
      <w:r w:rsidR="00381A7F" w:rsidRPr="00464AF2">
        <w:t xml:space="preserve"> </w:t>
      </w:r>
      <w:r w:rsidRPr="00464AF2">
        <w:t>A few examples of these programs are the following.</w:t>
      </w:r>
    </w:p>
    <w:p w14:paraId="4CB4AED8" w14:textId="1B05D07B" w:rsidR="00520A8B" w:rsidRPr="00464AF2" w:rsidRDefault="00520A8B" w:rsidP="00520A8B">
      <w:pPr>
        <w:pStyle w:val="ColorfulList-Accent11"/>
        <w:numPr>
          <w:ilvl w:val="0"/>
          <w:numId w:val="1"/>
        </w:numPr>
        <w:spacing w:after="0"/>
        <w:rPr>
          <w:rFonts w:ascii="Arial" w:hAnsi="Arial"/>
        </w:rPr>
      </w:pPr>
      <w:r w:rsidRPr="00464AF2">
        <w:rPr>
          <w:rFonts w:ascii="Arial" w:hAnsi="Arial"/>
          <w:u w:val="single"/>
        </w:rPr>
        <w:t>North Carolina DNA Day.</w:t>
      </w:r>
      <w:r w:rsidR="00381A7F" w:rsidRPr="00464AF2">
        <w:rPr>
          <w:rFonts w:ascii="Arial" w:hAnsi="Arial"/>
        </w:rPr>
        <w:t xml:space="preserve"> </w:t>
      </w:r>
      <w:r w:rsidR="00875E84" w:rsidRPr="00875E84">
        <w:rPr>
          <w:rFonts w:ascii="Arial" w:hAnsi="Arial"/>
        </w:rPr>
        <w:t>This science outreach program is held annually in April to coincide with National DNA Day. UNC graduate students and postdoctoral scholars visit high schools across the state of North Carolina to conduct engaging, hands-on scientific activities highlighting genetics and genomics and sharing their passion for science and information about science careers. In 2019, approximately 9,000 high school students in 137 high schools were reached by over 160 graduate students and postdoc scientist “ambassadors". Since the program was established in 2007, NC DNA Day has reached 502 unique high schools and &gt;100,000 high school students. For most of the high school participants, it was their first interaction with a career scientist. Students in the laboratories of our training faculty are regular participants in this important event. In addition, as part of UNC’s DNA Day CONNECT initiative, a subset of trainees are paired with NC high school science teachers at the start of the school year to be available as a “guest scientist” by video conference throughout the year. This culminates with the scientist visiting the classroom in person on DNA Day</w:t>
      </w:r>
      <w:r w:rsidR="006701CF" w:rsidRPr="00464AF2">
        <w:rPr>
          <w:rFonts w:ascii="Arial" w:hAnsi="Arial"/>
        </w:rPr>
        <w:t>. </w:t>
      </w:r>
    </w:p>
    <w:p w14:paraId="4AA48503" w14:textId="4A115F78" w:rsidR="00520A8B" w:rsidRPr="00381A7F" w:rsidRDefault="00520A8B" w:rsidP="00520A8B">
      <w:pPr>
        <w:pStyle w:val="ColorfulList-Accent11"/>
        <w:numPr>
          <w:ilvl w:val="0"/>
          <w:numId w:val="1"/>
        </w:numPr>
        <w:spacing w:after="0"/>
        <w:rPr>
          <w:rFonts w:ascii="Arial" w:hAnsi="Arial"/>
        </w:rPr>
      </w:pPr>
      <w:r w:rsidRPr="00381A7F">
        <w:rPr>
          <w:rFonts w:ascii="Arial" w:hAnsi="Arial"/>
          <w:u w:val="single"/>
        </w:rPr>
        <w:t>SURE and SOLAR</w:t>
      </w:r>
      <w:r w:rsidRPr="00381A7F">
        <w:rPr>
          <w:rFonts w:ascii="Arial" w:hAnsi="Arial"/>
        </w:rPr>
        <w:t>.</w:t>
      </w:r>
      <w:r w:rsidR="00381A7F" w:rsidRPr="00381A7F">
        <w:rPr>
          <w:rFonts w:ascii="Arial" w:hAnsi="Arial"/>
        </w:rPr>
        <w:t xml:space="preserve"> </w:t>
      </w:r>
      <w:r w:rsidRPr="00381A7F">
        <w:rPr>
          <w:rFonts w:ascii="Arial" w:hAnsi="Arial"/>
        </w:rPr>
        <w:t>These summer research programs host visiting undergraduates from other institutions where there are few opportunities to participate in internationally-competitive research.</w:t>
      </w:r>
      <w:r w:rsidR="00381A7F" w:rsidRPr="00381A7F">
        <w:rPr>
          <w:rFonts w:ascii="Arial" w:hAnsi="Arial"/>
        </w:rPr>
        <w:t xml:space="preserve"> </w:t>
      </w:r>
      <w:r w:rsidRPr="00381A7F">
        <w:rPr>
          <w:rFonts w:ascii="Arial" w:hAnsi="Arial"/>
        </w:rPr>
        <w:t>Over the years, many of these students have been hosted by faculty in our training program.</w:t>
      </w:r>
      <w:r w:rsidR="00381A7F" w:rsidRPr="00381A7F">
        <w:rPr>
          <w:rFonts w:ascii="Arial" w:hAnsi="Arial"/>
        </w:rPr>
        <w:t xml:space="preserve"> </w:t>
      </w:r>
      <w:r w:rsidRPr="00381A7F">
        <w:rPr>
          <w:rFonts w:ascii="Arial" w:hAnsi="Arial"/>
        </w:rPr>
        <w:t>Typically</w:t>
      </w:r>
      <w:r w:rsidR="00C44445">
        <w:rPr>
          <w:rFonts w:ascii="Arial" w:hAnsi="Arial"/>
        </w:rPr>
        <w:t>,</w:t>
      </w:r>
      <w:r w:rsidRPr="00381A7F">
        <w:rPr>
          <w:rFonts w:ascii="Arial" w:hAnsi="Arial"/>
        </w:rPr>
        <w:t xml:space="preserve"> </w:t>
      </w:r>
      <w:r w:rsidR="00343172" w:rsidRPr="00381A7F">
        <w:rPr>
          <w:rFonts w:ascii="Arial" w:hAnsi="Arial"/>
        </w:rPr>
        <w:t>50</w:t>
      </w:r>
      <w:r w:rsidRPr="00381A7F">
        <w:rPr>
          <w:rFonts w:ascii="Arial" w:hAnsi="Arial"/>
        </w:rPr>
        <w:t>% of the NSF-funded SURE participants are URs. SOLAR is a program exclusively for URs that is organized and directed by the OGE (funded by intramural sources).</w:t>
      </w:r>
      <w:r w:rsidR="00381A7F" w:rsidRPr="00381A7F">
        <w:rPr>
          <w:rFonts w:ascii="Arial" w:hAnsi="Arial"/>
        </w:rPr>
        <w:t xml:space="preserve"> </w:t>
      </w:r>
      <w:r w:rsidRPr="00381A7F">
        <w:rPr>
          <w:rFonts w:ascii="Arial" w:hAnsi="Arial"/>
        </w:rPr>
        <w:t xml:space="preserve">BBSP has a high rate of recruitment from these programs. </w:t>
      </w:r>
    </w:p>
    <w:p w14:paraId="248F9730" w14:textId="353B4B45" w:rsidR="00520A8B" w:rsidRPr="00464AF2" w:rsidRDefault="00520A8B" w:rsidP="007A6CBA">
      <w:pPr>
        <w:pStyle w:val="ColorfulList-Accent11"/>
        <w:numPr>
          <w:ilvl w:val="0"/>
          <w:numId w:val="1"/>
        </w:numPr>
        <w:spacing w:after="0"/>
        <w:rPr>
          <w:rFonts w:ascii="Arial" w:hAnsi="Arial"/>
          <w:color w:val="000000"/>
        </w:rPr>
      </w:pPr>
      <w:r w:rsidRPr="00381A7F">
        <w:rPr>
          <w:rFonts w:ascii="Arial" w:hAnsi="Arial"/>
          <w:u w:val="single"/>
        </w:rPr>
        <w:t>Postbaccalaureate Research Education Program (PREP)</w:t>
      </w:r>
      <w:r w:rsidRPr="00381A7F">
        <w:rPr>
          <w:rFonts w:ascii="Arial" w:hAnsi="Arial"/>
        </w:rPr>
        <w:t>.</w:t>
      </w:r>
      <w:r w:rsidR="00381A7F" w:rsidRPr="00381A7F">
        <w:rPr>
          <w:rFonts w:ascii="Arial" w:hAnsi="Arial"/>
        </w:rPr>
        <w:t xml:space="preserve"> </w:t>
      </w:r>
      <w:r w:rsidR="00D74031" w:rsidRPr="00D74031">
        <w:rPr>
          <w:rFonts w:ascii="Arial" w:hAnsi="Arial"/>
        </w:rPr>
        <w:t>The OGE has administered an NIH-funded Postbaccalaureate Research Education Program (PREP) for UR scholars since 2010 (R25 Co-PIs, Dr. Jean Cook and Dr. Donita Robinson). UNC PREP provides one year of salary/tuition support for UR scholars who plan to apply to biomedical Ph.D. programs. Besides working full-time in research labs during their year in the program, UNC PREP scholars receive extensive professional development in areas important to their growth as scientists such as scientific writing, presentation skills, critical analysis, and time management. Since 2010, UNC PREP has transitioned 86 UR scholars (92.5%) into top-tier biomedical doctoral programs with a retention rate of 94%. UNC PREP outcomes and a detailed program description were recently published (</w:t>
      </w:r>
      <w:hyperlink r:id="rId9" w:history="1">
        <w:r w:rsidR="00D74031" w:rsidRPr="00D74031">
          <w:rPr>
            <w:rStyle w:val="Hyperlink"/>
            <w:rFonts w:ascii="Arial" w:hAnsi="Arial"/>
          </w:rPr>
          <w:t>Hall et al., 2016</w:t>
        </w:r>
      </w:hyperlink>
      <w:r w:rsidR="00D74031" w:rsidRPr="00D74031">
        <w:rPr>
          <w:rFonts w:ascii="Arial" w:hAnsi="Arial"/>
        </w:rPr>
        <w:t>) and have been used as a blueprint for other post-baccalaureate training programs across the country. BBSP has a high rate of recruitment from this UR pool, with 44.1% (38/86) of PREP scholars transitioning directly to BBSP.</w:t>
      </w:r>
      <w:r w:rsidR="006701CF" w:rsidRPr="00464AF2">
        <w:rPr>
          <w:rFonts w:ascii="Arial" w:hAnsi="Arial"/>
          <w:color w:val="FF0000"/>
        </w:rPr>
        <w:t> </w:t>
      </w:r>
    </w:p>
    <w:p w14:paraId="33A7D0C6" w14:textId="08E91183" w:rsidR="00520A8B" w:rsidRPr="00381A7F" w:rsidRDefault="00520A8B" w:rsidP="00520A8B">
      <w:pPr>
        <w:pStyle w:val="ColorfulList-Accent11"/>
        <w:numPr>
          <w:ilvl w:val="0"/>
          <w:numId w:val="1"/>
        </w:numPr>
        <w:spacing w:after="0"/>
        <w:rPr>
          <w:rFonts w:ascii="Arial" w:hAnsi="Arial"/>
        </w:rPr>
      </w:pPr>
      <w:r w:rsidRPr="00381A7F">
        <w:rPr>
          <w:rFonts w:ascii="Arial" w:hAnsi="Arial"/>
          <w:u w:val="single"/>
        </w:rPr>
        <w:t xml:space="preserve">UNC SPIRE </w:t>
      </w:r>
      <w:r w:rsidR="00BF498A">
        <w:rPr>
          <w:rFonts w:ascii="Arial" w:hAnsi="Arial"/>
          <w:u w:val="single"/>
        </w:rPr>
        <w:t>P</w:t>
      </w:r>
      <w:r w:rsidRPr="00381A7F">
        <w:rPr>
          <w:rFonts w:ascii="Arial" w:hAnsi="Arial"/>
          <w:u w:val="single"/>
        </w:rPr>
        <w:t>rogram.</w:t>
      </w:r>
      <w:r w:rsidRPr="00381A7F">
        <w:rPr>
          <w:rFonts w:ascii="Arial" w:hAnsi="Arial"/>
        </w:rPr>
        <w:t xml:space="preserve"> The SPIRE program is a NIH-funded program for postdoctoral training in research and education.</w:t>
      </w:r>
      <w:r w:rsidR="00381A7F" w:rsidRPr="00381A7F">
        <w:rPr>
          <w:rFonts w:ascii="Arial" w:hAnsi="Arial"/>
        </w:rPr>
        <w:t xml:space="preserve"> </w:t>
      </w:r>
      <w:r w:rsidRPr="00381A7F">
        <w:rPr>
          <w:rFonts w:ascii="Arial" w:hAnsi="Arial"/>
        </w:rPr>
        <w:t>SPIRE postdoctoral fellows teach at North Carolina MSIs, and they work with the OGE to identify candidate UR undergraduates for research opportunities at UNC.</w:t>
      </w:r>
      <w:r w:rsidR="00381A7F" w:rsidRPr="00381A7F">
        <w:rPr>
          <w:rFonts w:ascii="Arial" w:hAnsi="Arial"/>
        </w:rPr>
        <w:t xml:space="preserve"> </w:t>
      </w:r>
      <w:r w:rsidR="003B7754" w:rsidRPr="00381A7F">
        <w:rPr>
          <w:rFonts w:ascii="Arial" w:hAnsi="Arial"/>
        </w:rPr>
        <w:t>Nine</w:t>
      </w:r>
      <w:r w:rsidRPr="00381A7F">
        <w:rPr>
          <w:rFonts w:ascii="Arial" w:hAnsi="Arial"/>
        </w:rPr>
        <w:t xml:space="preserve"> previous SPIRE fellows are now faculty at NC </w:t>
      </w:r>
      <w:r w:rsidR="003B7754" w:rsidRPr="00381A7F">
        <w:rPr>
          <w:rFonts w:ascii="Arial" w:hAnsi="Arial"/>
        </w:rPr>
        <w:t>MSIs</w:t>
      </w:r>
      <w:r w:rsidR="00381A7F" w:rsidRPr="00381A7F">
        <w:rPr>
          <w:rFonts w:ascii="Arial" w:hAnsi="Arial"/>
        </w:rPr>
        <w:t xml:space="preserve"> </w:t>
      </w:r>
    </w:p>
    <w:p w14:paraId="48010895" w14:textId="2A665C35" w:rsidR="00520A8B" w:rsidRPr="00381A7F" w:rsidRDefault="00BF498A" w:rsidP="00520A8B">
      <w:pPr>
        <w:pStyle w:val="ColorfulList-Accent11"/>
        <w:numPr>
          <w:ilvl w:val="0"/>
          <w:numId w:val="1"/>
        </w:numPr>
        <w:spacing w:after="0"/>
        <w:rPr>
          <w:rFonts w:ascii="Arial" w:hAnsi="Arial"/>
        </w:rPr>
      </w:pPr>
      <w:r>
        <w:rPr>
          <w:rFonts w:ascii="Arial" w:hAnsi="Arial"/>
          <w:u w:val="single"/>
        </w:rPr>
        <w:t>OGE-sponsored V</w:t>
      </w:r>
      <w:r w:rsidR="00520A8B" w:rsidRPr="00381A7F">
        <w:rPr>
          <w:rFonts w:ascii="Arial" w:hAnsi="Arial"/>
          <w:u w:val="single"/>
        </w:rPr>
        <w:t>isits.</w:t>
      </w:r>
      <w:r w:rsidR="00520A8B" w:rsidRPr="00381A7F">
        <w:rPr>
          <w:rFonts w:ascii="Arial" w:hAnsi="Arial"/>
        </w:rPr>
        <w:t xml:space="preserve"> The OGE hosts campus visits for undergraduates from </w:t>
      </w:r>
      <w:r w:rsidR="00343172" w:rsidRPr="00381A7F">
        <w:rPr>
          <w:rFonts w:ascii="Arial" w:hAnsi="Arial"/>
        </w:rPr>
        <w:t>MSIs</w:t>
      </w:r>
      <w:r w:rsidR="00520A8B" w:rsidRPr="00381A7F">
        <w:rPr>
          <w:rFonts w:ascii="Arial" w:hAnsi="Arial"/>
        </w:rPr>
        <w:t>. This program is being extended to include North Carolina undergraduates from schools with high percentages of 1</w:t>
      </w:r>
      <w:r w:rsidR="00520A8B" w:rsidRPr="00381A7F">
        <w:rPr>
          <w:rFonts w:ascii="Arial" w:hAnsi="Arial"/>
          <w:vertAlign w:val="superscript"/>
        </w:rPr>
        <w:t>st</w:t>
      </w:r>
      <w:r w:rsidR="00520A8B" w:rsidRPr="00381A7F">
        <w:rPr>
          <w:rFonts w:ascii="Arial" w:hAnsi="Arial"/>
        </w:rPr>
        <w:t xml:space="preserve"> generation college students.</w:t>
      </w:r>
      <w:r w:rsidR="00381A7F" w:rsidRPr="00381A7F">
        <w:rPr>
          <w:rFonts w:ascii="Arial" w:hAnsi="Arial"/>
        </w:rPr>
        <w:t xml:space="preserve"> </w:t>
      </w:r>
      <w:r w:rsidR="00520A8B" w:rsidRPr="00381A7F">
        <w:rPr>
          <w:rFonts w:ascii="Arial" w:hAnsi="Arial"/>
        </w:rPr>
        <w:t xml:space="preserve">The OGE has developed strong relationships with the University of Puerto Rico at </w:t>
      </w:r>
      <w:proofErr w:type="spellStart"/>
      <w:r w:rsidR="00520A8B" w:rsidRPr="00381A7F">
        <w:rPr>
          <w:rFonts w:ascii="Arial" w:hAnsi="Arial"/>
        </w:rPr>
        <w:t>Cayey</w:t>
      </w:r>
      <w:proofErr w:type="spellEnd"/>
      <w:r w:rsidR="00520A8B" w:rsidRPr="00381A7F">
        <w:rPr>
          <w:rFonts w:ascii="Arial" w:hAnsi="Arial"/>
        </w:rPr>
        <w:t xml:space="preserve"> and the University of the Virgin Islands, two MSIs outside the continental US with very limited research infrastructure and few research opportunities for students.</w:t>
      </w:r>
      <w:r w:rsidR="00381A7F" w:rsidRPr="00381A7F">
        <w:rPr>
          <w:rFonts w:ascii="Arial" w:hAnsi="Arial"/>
        </w:rPr>
        <w:t xml:space="preserve"> </w:t>
      </w:r>
      <w:r w:rsidR="00520A8B" w:rsidRPr="00381A7F">
        <w:rPr>
          <w:rFonts w:ascii="Arial" w:hAnsi="Arial"/>
        </w:rPr>
        <w:t>Each year, the OGE sends graduate students to these universities to lead laboratory skills workshops and present their research.</w:t>
      </w:r>
      <w:r w:rsidR="00381A7F" w:rsidRPr="00381A7F">
        <w:rPr>
          <w:rFonts w:ascii="Arial" w:hAnsi="Arial"/>
        </w:rPr>
        <w:t xml:space="preserve"> </w:t>
      </w:r>
      <w:r w:rsidR="00520A8B" w:rsidRPr="00381A7F">
        <w:rPr>
          <w:rFonts w:ascii="Arial" w:hAnsi="Arial"/>
        </w:rPr>
        <w:t xml:space="preserve">As evidence for interconnections between UNC recruitment programs is that several undergraduates </w:t>
      </w:r>
      <w:r w:rsidR="00520A8B" w:rsidRPr="00381A7F">
        <w:rPr>
          <w:rFonts w:ascii="Arial" w:hAnsi="Arial"/>
        </w:rPr>
        <w:lastRenderedPageBreak/>
        <w:t xml:space="preserve">from UPR </w:t>
      </w:r>
      <w:proofErr w:type="spellStart"/>
      <w:r w:rsidR="00520A8B" w:rsidRPr="00381A7F">
        <w:rPr>
          <w:rFonts w:ascii="Arial" w:hAnsi="Arial"/>
        </w:rPr>
        <w:t>Cayey</w:t>
      </w:r>
      <w:proofErr w:type="spellEnd"/>
      <w:r w:rsidR="00520A8B" w:rsidRPr="00381A7F">
        <w:rPr>
          <w:rFonts w:ascii="Arial" w:hAnsi="Arial"/>
        </w:rPr>
        <w:t xml:space="preserve"> and UVI have participated in the OGE SOLAR and PREP programs, and successfully matriculated through BBSP.</w:t>
      </w:r>
      <w:r w:rsidR="00381A7F" w:rsidRPr="00381A7F">
        <w:rPr>
          <w:rFonts w:ascii="Arial" w:hAnsi="Arial"/>
        </w:rPr>
        <w:t xml:space="preserve"> </w:t>
      </w:r>
    </w:p>
    <w:p w14:paraId="6AB30EFF" w14:textId="2A0DEB94" w:rsidR="00520A8B" w:rsidRDefault="00BF498A" w:rsidP="00520A8B">
      <w:pPr>
        <w:pStyle w:val="ColorfulList-Accent11"/>
        <w:numPr>
          <w:ilvl w:val="0"/>
          <w:numId w:val="1"/>
        </w:numPr>
        <w:spacing w:after="0"/>
        <w:rPr>
          <w:rFonts w:ascii="Arial" w:hAnsi="Arial"/>
        </w:rPr>
      </w:pPr>
      <w:r>
        <w:rPr>
          <w:rFonts w:ascii="Arial" w:hAnsi="Arial"/>
          <w:u w:val="single"/>
        </w:rPr>
        <w:t>Faculty Participation at C</w:t>
      </w:r>
      <w:r w:rsidR="00520A8B" w:rsidRPr="00381A7F">
        <w:rPr>
          <w:rFonts w:ascii="Arial" w:hAnsi="Arial"/>
          <w:u w:val="single"/>
        </w:rPr>
        <w:t>onferences.</w:t>
      </w:r>
      <w:r w:rsidR="00520A8B" w:rsidRPr="00BF498A">
        <w:rPr>
          <w:rFonts w:ascii="Arial" w:hAnsi="Arial"/>
        </w:rPr>
        <w:t xml:space="preserve"> </w:t>
      </w:r>
      <w:r w:rsidR="00520A8B" w:rsidRPr="00381A7F">
        <w:rPr>
          <w:rFonts w:ascii="Arial" w:hAnsi="Arial"/>
        </w:rPr>
        <w:t>The OGE sponsors faculty and student attendance at conferences for UR students interested in biomedical research careers including SACNAS (Society for the Advancement of Chicanos and Native Americans in Science) and ABRCMS (Annual Biomedical Research Conference for Minority Students). Additionally, the OGE provides recruitment materials and training for faculty attending targeted UR recruitment events at society meetings including the ENDURE session at the Society for Neuroscience National Meeting and the Society for Toxicology Annual Meeting.</w:t>
      </w:r>
    </w:p>
    <w:p w14:paraId="725348CA" w14:textId="77777777" w:rsidR="00CE7A95" w:rsidRDefault="00CE7A95" w:rsidP="00520A8B">
      <w:pPr>
        <w:pStyle w:val="ColorfulList-Accent11"/>
        <w:numPr>
          <w:ilvl w:val="0"/>
          <w:numId w:val="1"/>
        </w:numPr>
        <w:spacing w:after="0"/>
        <w:rPr>
          <w:rFonts w:ascii="Arial" w:hAnsi="Arial"/>
        </w:rPr>
      </w:pPr>
      <w:r w:rsidRPr="0064241F">
        <w:rPr>
          <w:rFonts w:ascii="Arial" w:hAnsi="Arial"/>
          <w:u w:val="single"/>
        </w:rPr>
        <w:t>BBSP Preview Weekend</w:t>
      </w:r>
      <w:r w:rsidRPr="0064241F">
        <w:rPr>
          <w:rFonts w:ascii="Arial" w:hAnsi="Arial"/>
        </w:rPr>
        <w:t>.</w:t>
      </w:r>
      <w:r>
        <w:rPr>
          <w:rFonts w:ascii="Arial" w:hAnsi="Arial"/>
        </w:rPr>
        <w:t xml:space="preserve"> Beginning in 2014, UNC hosts 15-20 prospective BBSP applicants from underrepresented groups for an all-expenses-paid two-day campus visit </w:t>
      </w:r>
      <w:r w:rsidR="00DA2417">
        <w:rPr>
          <w:rFonts w:ascii="Arial" w:hAnsi="Arial"/>
        </w:rPr>
        <w:t>each</w:t>
      </w:r>
      <w:r>
        <w:rPr>
          <w:rFonts w:ascii="Arial" w:hAnsi="Arial"/>
        </w:rPr>
        <w:t xml:space="preserve"> Fall. </w:t>
      </w:r>
      <w:r w:rsidRPr="007810C7">
        <w:rPr>
          <w:rFonts w:ascii="Arial" w:hAnsi="Arial"/>
        </w:rPr>
        <w:t xml:space="preserve">Participants receive individual guidance </w:t>
      </w:r>
      <w:r>
        <w:rPr>
          <w:rFonts w:ascii="Arial" w:hAnsi="Arial"/>
        </w:rPr>
        <w:t>from faculty about</w:t>
      </w:r>
      <w:r w:rsidRPr="007810C7">
        <w:rPr>
          <w:rFonts w:ascii="Arial" w:hAnsi="Arial"/>
        </w:rPr>
        <w:t xml:space="preserve"> crafting competitive graduate school applications</w:t>
      </w:r>
      <w:r>
        <w:rPr>
          <w:rFonts w:ascii="Arial" w:hAnsi="Arial"/>
        </w:rPr>
        <w:t xml:space="preserve"> and the interview and admissions process at UNC</w:t>
      </w:r>
      <w:r w:rsidRPr="007810C7">
        <w:rPr>
          <w:rFonts w:ascii="Arial" w:hAnsi="Arial"/>
        </w:rPr>
        <w:t xml:space="preserve">.  </w:t>
      </w:r>
      <w:r>
        <w:rPr>
          <w:rFonts w:ascii="Arial" w:hAnsi="Arial"/>
        </w:rPr>
        <w:t>P</w:t>
      </w:r>
      <w:r w:rsidRPr="007810C7">
        <w:rPr>
          <w:rFonts w:ascii="Arial" w:hAnsi="Arial"/>
        </w:rPr>
        <w:t xml:space="preserve">articipants meet faculty and current PhD students to learn more about the research opportunities and diverse community at UNC.  </w:t>
      </w:r>
    </w:p>
    <w:p w14:paraId="001C6CC4" w14:textId="12B6277E" w:rsidR="00A52B40" w:rsidRPr="00A52B40" w:rsidRDefault="00A52B40" w:rsidP="00520A8B">
      <w:pPr>
        <w:pStyle w:val="ColorfulList-Accent11"/>
        <w:numPr>
          <w:ilvl w:val="0"/>
          <w:numId w:val="1"/>
        </w:numPr>
        <w:spacing w:after="0"/>
        <w:rPr>
          <w:rFonts w:ascii="Arial" w:hAnsi="Arial"/>
        </w:rPr>
      </w:pPr>
      <w:r w:rsidRPr="00A52B40">
        <w:rPr>
          <w:rFonts w:ascii="Arial" w:hAnsi="Arial"/>
          <w:u w:val="single"/>
        </w:rPr>
        <w:t>Recruitment Ambassadors</w:t>
      </w:r>
      <w:r w:rsidRPr="00A52B40">
        <w:rPr>
          <w:rFonts w:ascii="Arial" w:hAnsi="Arial"/>
        </w:rPr>
        <w:t xml:space="preserve">. IMSD students serve as ambassadors who are points-of-contact for UR BBSP applicants, and they reach-out to recruits to share a student perspective about IMSD, BBSP and Chapel Hill. Ambassadors attend a Meet-and-Greet event hosted by Drs. </w:t>
      </w:r>
      <w:r w:rsidRPr="00A52B40">
        <w:rPr>
          <w:rFonts w:ascii="Arial" w:hAnsi="Arial"/>
          <w:b/>
        </w:rPr>
        <w:t>Freeman</w:t>
      </w:r>
      <w:r w:rsidRPr="00A52B40">
        <w:rPr>
          <w:rFonts w:ascii="Arial" w:hAnsi="Arial"/>
        </w:rPr>
        <w:t xml:space="preserve"> and </w:t>
      </w:r>
      <w:r w:rsidRPr="00A52B40">
        <w:rPr>
          <w:rFonts w:ascii="Arial" w:hAnsi="Arial"/>
          <w:b/>
        </w:rPr>
        <w:t>Cook</w:t>
      </w:r>
      <w:r w:rsidRPr="00A52B40">
        <w:rPr>
          <w:rFonts w:ascii="Arial" w:hAnsi="Arial"/>
        </w:rPr>
        <w:t xml:space="preserve"> at the start of each interview weekend to introduce recruits to the IMSD community.</w:t>
      </w:r>
    </w:p>
    <w:p w14:paraId="5D854696" w14:textId="77777777" w:rsidR="00520A8B" w:rsidRPr="00381A7F" w:rsidRDefault="00520A8B" w:rsidP="00520A8B"/>
    <w:p w14:paraId="5CF1C8DA" w14:textId="32A2CBD3" w:rsidR="00520A8B" w:rsidRPr="00381A7F" w:rsidRDefault="00520A8B" w:rsidP="00520A8B">
      <w:r w:rsidRPr="00381A7F">
        <w:rPr>
          <w:b/>
        </w:rPr>
        <w:t>Retention.</w:t>
      </w:r>
      <w:r w:rsidRPr="00381A7F">
        <w:t xml:space="preserve"> UNC </w:t>
      </w:r>
      <w:r w:rsidR="00CE7A95">
        <w:t>hosts</w:t>
      </w:r>
      <w:r w:rsidR="00CE7A95" w:rsidRPr="00381A7F">
        <w:t xml:space="preserve"> </w:t>
      </w:r>
      <w:r w:rsidRPr="00381A7F">
        <w:t xml:space="preserve">an NIH-funded R25 Initiative for Maximizing Student </w:t>
      </w:r>
      <w:r w:rsidR="00544990">
        <w:t>Development</w:t>
      </w:r>
      <w:r w:rsidRPr="00381A7F">
        <w:t xml:space="preserve"> (IMSD, 5R25GM055336) to enhance the training of UR students in biomedical graduate education.</w:t>
      </w:r>
      <w:r w:rsidR="00381A7F" w:rsidRPr="00381A7F">
        <w:t xml:space="preserve"> </w:t>
      </w:r>
      <w:r w:rsidRPr="00381A7F">
        <w:t>Dr. Cook</w:t>
      </w:r>
      <w:r w:rsidRPr="00381A7F">
        <w:rPr>
          <w:b/>
        </w:rPr>
        <w:t xml:space="preserve"> </w:t>
      </w:r>
      <w:r w:rsidRPr="00381A7F">
        <w:t>serves as the PI on this grant</w:t>
      </w:r>
      <w:r w:rsidR="00303D16">
        <w:t xml:space="preserve"> and </w:t>
      </w:r>
      <w:r w:rsidRPr="00381A7F">
        <w:t xml:space="preserve">Dr. Freeman as the </w:t>
      </w:r>
      <w:r w:rsidR="00966FD5">
        <w:t>Director.</w:t>
      </w:r>
      <w:r w:rsidR="00381A7F" w:rsidRPr="00381A7F">
        <w:t xml:space="preserve"> </w:t>
      </w:r>
      <w:r w:rsidRPr="00381A7F">
        <w:t xml:space="preserve">The IMSD program provides activities and support services that are available to all UR students </w:t>
      </w:r>
      <w:r w:rsidR="003B7754" w:rsidRPr="00381A7F">
        <w:t>from</w:t>
      </w:r>
      <w:r w:rsidRPr="00381A7F">
        <w:t xml:space="preserve"> admissions through post-graduation</w:t>
      </w:r>
      <w:r w:rsidR="003B7754" w:rsidRPr="00381A7F">
        <w:t>.</w:t>
      </w:r>
      <w:r w:rsidR="00381A7F" w:rsidRPr="00381A7F">
        <w:t xml:space="preserve"> </w:t>
      </w:r>
      <w:r w:rsidRPr="00381A7F">
        <w:t>This program also provides a supportive community along with continuous assessment and response to an individual</w:t>
      </w:r>
      <w:r w:rsidRPr="00381A7F" w:rsidDel="006857A4">
        <w:t xml:space="preserve"> </w:t>
      </w:r>
      <w:r w:rsidRPr="00381A7F">
        <w:t xml:space="preserve">student’s needs. </w:t>
      </w:r>
    </w:p>
    <w:p w14:paraId="42B32BB0" w14:textId="77777777" w:rsidR="00520A8B" w:rsidRPr="00381A7F" w:rsidRDefault="00520A8B" w:rsidP="00520A8B">
      <w:pPr>
        <w:numPr>
          <w:ilvl w:val="0"/>
          <w:numId w:val="2"/>
        </w:numPr>
      </w:pPr>
      <w:r w:rsidRPr="00381A7F">
        <w:t>IMSD meets with UR applicants during their</w:t>
      </w:r>
      <w:r w:rsidR="006B499E">
        <w:t xml:space="preserve"> preview and</w:t>
      </w:r>
      <w:r w:rsidRPr="00381A7F">
        <w:t xml:space="preserve"> interview </w:t>
      </w:r>
      <w:r w:rsidR="006B499E" w:rsidRPr="0064241F">
        <w:t>visits</w:t>
      </w:r>
      <w:r w:rsidR="006B499E" w:rsidRPr="00381A7F">
        <w:t xml:space="preserve"> </w:t>
      </w:r>
      <w:r w:rsidRPr="00381A7F">
        <w:t>to address their unique questions and introduce them to the broader IMSD community of scholars.</w:t>
      </w:r>
    </w:p>
    <w:p w14:paraId="6E9FC644" w14:textId="77777777" w:rsidR="00520A8B" w:rsidRPr="00381A7F" w:rsidRDefault="00520A8B" w:rsidP="00520A8B">
      <w:pPr>
        <w:numPr>
          <w:ilvl w:val="0"/>
          <w:numId w:val="2"/>
        </w:numPr>
      </w:pPr>
      <w:r w:rsidRPr="00381A7F">
        <w:t>IMSD seamlessly integrates all first year IMSD students into the BBSP program and provides them with extensive professional development training in presentation and writing skills and life coaching/career counseling to aid their transition to graduate school.</w:t>
      </w:r>
    </w:p>
    <w:p w14:paraId="02861BEA" w14:textId="77777777" w:rsidR="00520A8B" w:rsidRPr="00381A7F" w:rsidRDefault="00520A8B" w:rsidP="00520A8B">
      <w:pPr>
        <w:numPr>
          <w:ilvl w:val="0"/>
          <w:numId w:val="2"/>
        </w:numPr>
      </w:pPr>
      <w:r w:rsidRPr="00381A7F">
        <w:t xml:space="preserve">IMSD assesses the needs of each student and addresses issues they are having. IMSD organizes academic coaches for students having difficulty in their graduate classes, needing to strengthen their critical analysis skills and scientific background in a new discipline, or for students needing help in preparing for written or oral qualifying exams. </w:t>
      </w:r>
    </w:p>
    <w:p w14:paraId="6DE98133" w14:textId="4D1F8048" w:rsidR="00520A8B" w:rsidRPr="00381A7F" w:rsidRDefault="00520A8B" w:rsidP="00520A8B">
      <w:pPr>
        <w:numPr>
          <w:ilvl w:val="0"/>
          <w:numId w:val="2"/>
        </w:numPr>
      </w:pPr>
      <w:r w:rsidRPr="00381A7F">
        <w:t xml:space="preserve">IMSD generates </w:t>
      </w:r>
      <w:r w:rsidR="00966FD5">
        <w:t>Graduation Progression</w:t>
      </w:r>
      <w:r w:rsidRPr="00381A7F">
        <w:t xml:space="preserve"> Plans (</w:t>
      </w:r>
      <w:r w:rsidR="00966FD5">
        <w:t>GP</w:t>
      </w:r>
      <w:r w:rsidRPr="00381A7F">
        <w:t>Ps) for all program participants.</w:t>
      </w:r>
      <w:r w:rsidR="00381A7F" w:rsidRPr="00381A7F">
        <w:t xml:space="preserve"> </w:t>
      </w:r>
      <w:r w:rsidRPr="00381A7F">
        <w:t xml:space="preserve">These collaborations between IMSD staff, IMSD students, and their research </w:t>
      </w:r>
      <w:r w:rsidR="00966FD5">
        <w:t>advisors</w:t>
      </w:r>
      <w:r w:rsidRPr="00381A7F">
        <w:t xml:space="preserve"> involve assessment of the student’s skills by the student and </w:t>
      </w:r>
      <w:r w:rsidR="00966FD5">
        <w:t>advisor</w:t>
      </w:r>
      <w:r w:rsidRPr="00381A7F">
        <w:t>.</w:t>
      </w:r>
      <w:r w:rsidR="00381A7F" w:rsidRPr="00381A7F">
        <w:t xml:space="preserve"> </w:t>
      </w:r>
      <w:r w:rsidRPr="00381A7F">
        <w:t xml:space="preserve">These cooperative efforts foster collaboration among the research mentor, student, and research </w:t>
      </w:r>
      <w:r w:rsidR="00966FD5">
        <w:t>advisors</w:t>
      </w:r>
      <w:r w:rsidRPr="00381A7F">
        <w:t xml:space="preserve"> welcome the continued support of IMSD programming and services for their students</w:t>
      </w:r>
    </w:p>
    <w:p w14:paraId="320E6D47" w14:textId="3F6BC4D4" w:rsidR="00520A8B" w:rsidRPr="00381A7F" w:rsidRDefault="00520A8B" w:rsidP="00520A8B">
      <w:pPr>
        <w:numPr>
          <w:ilvl w:val="0"/>
          <w:numId w:val="2"/>
        </w:numPr>
      </w:pPr>
      <w:r w:rsidRPr="00381A7F">
        <w:t xml:space="preserve">IMSD programming includes </w:t>
      </w:r>
      <w:r w:rsidR="00966FD5">
        <w:t>quarterly</w:t>
      </w:r>
      <w:r w:rsidRPr="00381A7F">
        <w:t xml:space="preserve"> community-wide social gatherings and specialized group meetings</w:t>
      </w:r>
      <w:r w:rsidR="00966FD5">
        <w:t xml:space="preserve">. </w:t>
      </w:r>
      <w:r w:rsidRPr="00381A7F">
        <w:t>Two series provide a venue for IMSD students to present their research within the community (Student Research Talks series) and expose the IMSD community to successful UR scientists in a variety of career paths (Diversity Mentor series).</w:t>
      </w:r>
      <w:r w:rsidR="00381A7F" w:rsidRPr="00381A7F">
        <w:t xml:space="preserve"> </w:t>
      </w:r>
      <w:r w:rsidRPr="00381A7F">
        <w:t xml:space="preserve">Through the Career Advancement </w:t>
      </w:r>
      <w:r w:rsidR="00966FD5">
        <w:t>series</w:t>
      </w:r>
      <w:r w:rsidRPr="00381A7F">
        <w:t>, IMSD leaders provide career guidance and advice to IMSD students.</w:t>
      </w:r>
      <w:r w:rsidR="00381A7F" w:rsidRPr="00381A7F">
        <w:t xml:space="preserve"> </w:t>
      </w:r>
      <w:r w:rsidR="00966FD5">
        <w:t>Additionally, m</w:t>
      </w:r>
      <w:r w:rsidRPr="00381A7F">
        <w:t>onthly meetings with the first year IMSD students enable IMSD staff to closely monitor student progress in courses and labs and provide personalized advisement and support to augment student success.</w:t>
      </w:r>
      <w:r w:rsidR="00381A7F" w:rsidRPr="00381A7F">
        <w:t xml:space="preserve"> </w:t>
      </w:r>
    </w:p>
    <w:p w14:paraId="6E830EFD" w14:textId="77777777" w:rsidR="00520A8B" w:rsidRPr="00381A7F" w:rsidRDefault="00520A8B" w:rsidP="00520A8B">
      <w:pPr>
        <w:numPr>
          <w:ilvl w:val="0"/>
          <w:numId w:val="2"/>
        </w:numPr>
        <w:sectPr w:rsidR="00520A8B" w:rsidRPr="00381A7F" w:rsidSect="00C44445">
          <w:headerReference w:type="even" r:id="rId10"/>
          <w:headerReference w:type="default" r:id="rId11"/>
          <w:pgSz w:w="12240" w:h="15840"/>
          <w:pgMar w:top="720" w:right="720" w:bottom="806" w:left="720" w:header="720" w:footer="720" w:gutter="0"/>
          <w:cols w:space="720"/>
          <w:docGrid w:linePitch="299"/>
        </w:sectPr>
      </w:pPr>
      <w:r w:rsidRPr="00381A7F">
        <w:t>Additional annual programming includes the IMSD Biomedical Research Symposium which showcases IMSD student research to the UNC community through oral and poster presentations.</w:t>
      </w:r>
      <w:r w:rsidR="00381A7F" w:rsidRPr="00381A7F">
        <w:t xml:space="preserve"> </w:t>
      </w:r>
      <w:r w:rsidRPr="00381A7F">
        <w:t>The Holiday Dinner celebrates the year’s successes and student achievement while encouraging networking and strengthening intra-community ties.</w:t>
      </w:r>
      <w:r w:rsidR="00381A7F" w:rsidRPr="00381A7F">
        <w:t xml:space="preserve"> </w:t>
      </w:r>
      <w:r w:rsidRPr="00381A7F">
        <w:t>Finally, the IMSD Retreat provides unique professional development training that enhances the progress and competitiveness of IMSD scholars.</w:t>
      </w:r>
    </w:p>
    <w:p w14:paraId="300E39E8" w14:textId="77777777" w:rsidR="00966FD5" w:rsidRDefault="00966FD5" w:rsidP="00520A8B"/>
    <w:p w14:paraId="34E2E3B7" w14:textId="246ACB84" w:rsidR="00520A8B" w:rsidRPr="00C44445" w:rsidRDefault="00520A8B" w:rsidP="00C44445">
      <w:pPr>
        <w:rPr>
          <w:color w:val="0070C0"/>
        </w:rPr>
      </w:pPr>
      <w:r w:rsidRPr="00381A7F">
        <w:t>The IMSD program is not only an important part of our retention plan, but it also facilitates the development of IMSD students into outstanding training grant students.</w:t>
      </w:r>
      <w:r w:rsidR="00381A7F" w:rsidRPr="00381A7F">
        <w:t xml:space="preserve"> </w:t>
      </w:r>
      <w:r w:rsidRPr="00381A7F">
        <w:rPr>
          <w:highlight w:val="yellow"/>
        </w:rPr>
        <w:t xml:space="preserve">In fact, IMSD has partnered </w:t>
      </w:r>
      <w:r w:rsidRPr="00381A7F">
        <w:rPr>
          <w:highlight w:val="yellow"/>
        </w:rPr>
        <w:lastRenderedPageBreak/>
        <w:t>with several T32 training grants to create discipline-specific Diversity Fellowships to recruit outstanding UR students to UNC.</w:t>
      </w:r>
      <w:r w:rsidR="00381A7F" w:rsidRPr="00381A7F">
        <w:rPr>
          <w:highlight w:val="yellow"/>
        </w:rPr>
        <w:t xml:space="preserve"> </w:t>
      </w:r>
      <w:r w:rsidRPr="00381A7F">
        <w:rPr>
          <w:highlight w:val="yellow"/>
        </w:rPr>
        <w:t>These competitive fellowships provide at least 2 years of NIH-funded stipend support and travel funds for scientific presentations, in addition to the T32- and IMSD-specific programming</w:t>
      </w:r>
      <w:r w:rsidRPr="00C44445">
        <w:rPr>
          <w:color w:val="0070C0"/>
          <w:highlight w:val="yellow"/>
        </w:rPr>
        <w:t xml:space="preserve">. </w:t>
      </w:r>
      <w:r w:rsidRPr="001F5E6A">
        <w:rPr>
          <w:i/>
          <w:iCs/>
          <w:color w:val="000000" w:themeColor="text1"/>
          <w:highlight w:val="cyan"/>
        </w:rPr>
        <w:t>This is optional and should be included by participating T32 programs</w:t>
      </w:r>
      <w:r w:rsidR="00381A7F" w:rsidRPr="00C44445">
        <w:rPr>
          <w:color w:val="000000" w:themeColor="text1"/>
        </w:rPr>
        <w:t xml:space="preserve"> </w:t>
      </w:r>
    </w:p>
    <w:p w14:paraId="7F46BB38" w14:textId="77777777" w:rsidR="00520A8B" w:rsidRPr="00C44445" w:rsidRDefault="00520A8B" w:rsidP="00C44445">
      <w:pPr>
        <w:rPr>
          <w:b/>
          <w:color w:val="0070C0"/>
        </w:rPr>
      </w:pPr>
    </w:p>
    <w:p w14:paraId="57894815" w14:textId="47B5EDDE" w:rsidR="00520A8B" w:rsidRPr="00381A7F" w:rsidRDefault="00520A8B" w:rsidP="00520A8B">
      <w:pPr>
        <w:spacing w:after="120"/>
      </w:pPr>
      <w:r w:rsidRPr="00381A7F">
        <w:rPr>
          <w:b/>
        </w:rPr>
        <w:t>Evaluation.</w:t>
      </w:r>
      <w:r w:rsidRPr="00381A7F">
        <w:t xml:space="preserve"> </w:t>
      </w:r>
      <w:r w:rsidR="00990240">
        <w:t>IMSD ha</w:t>
      </w:r>
      <w:r w:rsidR="0069032B">
        <w:t>s</w:t>
      </w:r>
      <w:r w:rsidR="00990240">
        <w:t xml:space="preserve"> implemented a comprehensive evaluation plan that includes both internal and external evaluation of the program. </w:t>
      </w:r>
      <w:r w:rsidR="00100CCE">
        <w:t xml:space="preserve">Dr. </w:t>
      </w:r>
      <w:r w:rsidR="00401CC4">
        <w:t>Reb</w:t>
      </w:r>
      <w:r w:rsidR="00100CCE">
        <w:t>eka</w:t>
      </w:r>
      <w:r w:rsidR="00BB3BBF">
        <w:t>h</w:t>
      </w:r>
      <w:r w:rsidR="00100CCE">
        <w:t xml:space="preserve"> Layton, Director of </w:t>
      </w:r>
      <w:r w:rsidR="0069032B">
        <w:t>TIBBS</w:t>
      </w:r>
      <w:r w:rsidR="00100CCE">
        <w:t xml:space="preserve"> in the OG</w:t>
      </w:r>
      <w:r w:rsidR="0069032B">
        <w:t>E, utilizes her specific expertise in program evaluation to assist in-house evaluation of the IMSD program including survey development and analysis.</w:t>
      </w:r>
      <w:r w:rsidR="00100CCE">
        <w:t xml:space="preserve"> </w:t>
      </w:r>
      <w:r w:rsidRPr="00381A7F">
        <w:t xml:space="preserve">In addition to internal evaluation of our programming, the OGE contracts with </w:t>
      </w:r>
      <w:proofErr w:type="spellStart"/>
      <w:r w:rsidRPr="00381A7F">
        <w:t>Dawayne</w:t>
      </w:r>
      <w:proofErr w:type="spellEnd"/>
      <w:r w:rsidRPr="00381A7F">
        <w:t xml:space="preserve"> Whittington of Strategic Evaluations, Inc., as an external evaluator.</w:t>
      </w:r>
      <w:r w:rsidR="00381A7F" w:rsidRPr="00381A7F">
        <w:t xml:space="preserve"> </w:t>
      </w:r>
      <w:r w:rsidRPr="00381A7F">
        <w:t>Mr. Whittington has developed a</w:t>
      </w:r>
      <w:r w:rsidR="0069032B">
        <w:t xml:space="preserve">n </w:t>
      </w:r>
      <w:r w:rsidRPr="00381A7F">
        <w:t xml:space="preserve">evaluation plan </w:t>
      </w:r>
      <w:r w:rsidR="0069032B">
        <w:t xml:space="preserve">that </w:t>
      </w:r>
      <w:r w:rsidRPr="00381A7F">
        <w:t xml:space="preserve">includes </w:t>
      </w:r>
      <w:r w:rsidR="0069032B">
        <w:t xml:space="preserve">focus-group </w:t>
      </w:r>
      <w:r w:rsidRPr="00381A7F">
        <w:t>interviews with the students</w:t>
      </w:r>
      <w:r w:rsidR="0069032B">
        <w:t xml:space="preserve"> and </w:t>
      </w:r>
      <w:r w:rsidRPr="00381A7F">
        <w:t>their mentors.</w:t>
      </w:r>
    </w:p>
    <w:p w14:paraId="489F2778" w14:textId="77777777" w:rsidR="00520A8B" w:rsidRPr="00381A7F" w:rsidRDefault="00520A8B" w:rsidP="00520A8B">
      <w:pPr>
        <w:pStyle w:val="BodyText3"/>
        <w:rPr>
          <w:rFonts w:ascii="Arial" w:hAnsi="Arial"/>
          <w:sz w:val="22"/>
          <w:szCs w:val="22"/>
        </w:rPr>
      </w:pPr>
      <w:r w:rsidRPr="00381A7F">
        <w:rPr>
          <w:rFonts w:ascii="Arial" w:hAnsi="Arial"/>
          <w:b/>
          <w:bCs/>
          <w:sz w:val="22"/>
          <w:szCs w:val="22"/>
        </w:rPr>
        <w:t>Specific efforts of the “</w:t>
      </w:r>
      <w:r w:rsidRPr="00381A7F">
        <w:rPr>
          <w:rFonts w:ascii="Arial" w:hAnsi="Arial"/>
          <w:b/>
          <w:bCs/>
          <w:sz w:val="22"/>
          <w:szCs w:val="22"/>
          <w:highlight w:val="yellow"/>
        </w:rPr>
        <w:t>XXXXX</w:t>
      </w:r>
      <w:r w:rsidRPr="00381A7F">
        <w:rPr>
          <w:rFonts w:ascii="Arial" w:hAnsi="Arial"/>
          <w:b/>
          <w:bCs/>
          <w:sz w:val="22"/>
          <w:szCs w:val="22"/>
        </w:rPr>
        <w:t>”.</w:t>
      </w:r>
      <w:r w:rsidRPr="00381A7F">
        <w:rPr>
          <w:rFonts w:ascii="Arial" w:hAnsi="Arial"/>
          <w:sz w:val="22"/>
          <w:szCs w:val="22"/>
        </w:rPr>
        <w:t xml:space="preserve"> </w:t>
      </w:r>
      <w:r w:rsidRPr="00381A7F">
        <w:rPr>
          <w:rFonts w:ascii="Arial" w:hAnsi="Arial"/>
          <w:sz w:val="22"/>
          <w:szCs w:val="22"/>
          <w:highlight w:val="yellow"/>
        </w:rPr>
        <w:t xml:space="preserve">You should highlight here how your faculty, students, </w:t>
      </w:r>
      <w:proofErr w:type="spellStart"/>
      <w:r w:rsidRPr="00381A7F">
        <w:rPr>
          <w:rFonts w:ascii="Arial" w:hAnsi="Arial"/>
          <w:sz w:val="22"/>
          <w:szCs w:val="22"/>
          <w:highlight w:val="yellow"/>
        </w:rPr>
        <w:t>etc</w:t>
      </w:r>
      <w:proofErr w:type="spellEnd"/>
      <w:r w:rsidRPr="00381A7F">
        <w:rPr>
          <w:rFonts w:ascii="Arial" w:hAnsi="Arial"/>
          <w:sz w:val="22"/>
          <w:szCs w:val="22"/>
          <w:highlight w:val="yellow"/>
        </w:rPr>
        <w:t xml:space="preserve"> have participated in the above programs/events.</w:t>
      </w:r>
      <w:r w:rsidR="00381A7F" w:rsidRPr="00381A7F">
        <w:rPr>
          <w:rFonts w:ascii="Arial" w:hAnsi="Arial"/>
          <w:sz w:val="22"/>
          <w:szCs w:val="22"/>
          <w:highlight w:val="yellow"/>
        </w:rPr>
        <w:t xml:space="preserve"> </w:t>
      </w:r>
      <w:r w:rsidRPr="00381A7F">
        <w:rPr>
          <w:rFonts w:ascii="Arial" w:hAnsi="Arial"/>
          <w:sz w:val="22"/>
          <w:szCs w:val="22"/>
          <w:highlight w:val="yellow"/>
        </w:rPr>
        <w:t>If you have other events or programs that you do on your own you should describe them here.</w:t>
      </w:r>
      <w:r w:rsidR="00381A7F" w:rsidRPr="00381A7F">
        <w:rPr>
          <w:rFonts w:ascii="Arial" w:hAnsi="Arial"/>
          <w:sz w:val="22"/>
          <w:szCs w:val="22"/>
          <w:highlight w:val="yellow"/>
        </w:rPr>
        <w:t xml:space="preserve"> </w:t>
      </w:r>
      <w:r w:rsidRPr="00381A7F">
        <w:rPr>
          <w:rFonts w:ascii="Arial" w:hAnsi="Arial"/>
          <w:sz w:val="22"/>
          <w:szCs w:val="22"/>
          <w:highlight w:val="yellow"/>
        </w:rPr>
        <w:t>This is extremely important.</w:t>
      </w:r>
      <w:r w:rsidR="00381A7F" w:rsidRPr="00381A7F">
        <w:rPr>
          <w:rFonts w:ascii="Arial" w:hAnsi="Arial"/>
          <w:sz w:val="22"/>
          <w:szCs w:val="22"/>
          <w:highlight w:val="yellow"/>
        </w:rPr>
        <w:t xml:space="preserve"> </w:t>
      </w:r>
      <w:r w:rsidRPr="00381A7F">
        <w:rPr>
          <w:rFonts w:ascii="Arial" w:hAnsi="Arial"/>
          <w:sz w:val="22"/>
          <w:szCs w:val="22"/>
          <w:highlight w:val="yellow"/>
        </w:rPr>
        <w:t>The review committee is looking for specific involvement by your training faculty rather than simply leaving these activities to OGE to take care of.</w:t>
      </w:r>
      <w:r w:rsidR="00381A7F" w:rsidRPr="00381A7F">
        <w:rPr>
          <w:rFonts w:ascii="Arial" w:hAnsi="Arial"/>
          <w:sz w:val="22"/>
          <w:szCs w:val="22"/>
        </w:rPr>
        <w:t xml:space="preserve"> </w:t>
      </w:r>
    </w:p>
    <w:p w14:paraId="25762218" w14:textId="7633748C" w:rsidR="00452DF8" w:rsidRPr="00381A7F" w:rsidRDefault="00520A8B" w:rsidP="00C44445">
      <w:pPr>
        <w:spacing w:after="120"/>
      </w:pPr>
      <w:r w:rsidRPr="00381A7F">
        <w:rPr>
          <w:b/>
        </w:rPr>
        <w:t>Plan for Predoctoral Students with Disabilities.</w:t>
      </w:r>
      <w:r w:rsidR="00381A7F" w:rsidRPr="00381A7F">
        <w:t xml:space="preserve"> </w:t>
      </w:r>
      <w:r w:rsidR="00EA582D" w:rsidRPr="00381A7F">
        <w:t xml:space="preserve">While </w:t>
      </w:r>
      <w:r w:rsidRPr="00381A7F">
        <w:t xml:space="preserve">UNC is prohibited from </w:t>
      </w:r>
      <w:r w:rsidR="00EA582D" w:rsidRPr="00381A7F">
        <w:t>asking about</w:t>
      </w:r>
      <w:r w:rsidRPr="00381A7F">
        <w:t xml:space="preserve"> disabilities </w:t>
      </w:r>
      <w:r w:rsidR="00EA582D" w:rsidRPr="00381A7F">
        <w:t>in our admission pro</w:t>
      </w:r>
      <w:r w:rsidR="00CE7A95">
        <w:t>c</w:t>
      </w:r>
      <w:r w:rsidR="00EA582D" w:rsidRPr="00381A7F">
        <w:t>ess</w:t>
      </w:r>
      <w:r w:rsidRPr="00381A7F">
        <w:t>, we do not discriminate against students with disabilities for admissions</w:t>
      </w:r>
      <w:r w:rsidR="00D96E40">
        <w:t>,</w:t>
      </w:r>
      <w:r w:rsidR="00EA582D" w:rsidRPr="00381A7F">
        <w:t xml:space="preserve"> and active recruitment of students with disabilities is an integral part of the BBSP recruitment strategy</w:t>
      </w:r>
      <w:r w:rsidRPr="00381A7F">
        <w:t xml:space="preserve">. </w:t>
      </w:r>
      <w:r w:rsidR="00EA582D" w:rsidRPr="00381A7F">
        <w:t>The OGE reaches out to accessibility services offices at all major undergraduate institutions in North Carolina and many others in the Southeast. This</w:t>
      </w:r>
      <w:r w:rsidR="00D96E40">
        <w:t xml:space="preserve"> effort</w:t>
      </w:r>
      <w:r w:rsidR="00EA582D" w:rsidRPr="00381A7F">
        <w:t xml:space="preserve"> involves yearly emails and letters to the heads of accessibility services offices at the 16 UNC system schools, 17 private liberal arts colleges and 6 private universities in NC, as well as a dozen other regional colleges and universities in the Southeast. These communications emphasize our commitment to enrolling and actively supporting students with disabilities in the </w:t>
      </w:r>
      <w:r w:rsidR="00D96E40" w:rsidRPr="00381A7F">
        <w:t>1</w:t>
      </w:r>
      <w:r w:rsidR="00D96E40">
        <w:t xml:space="preserve">4 </w:t>
      </w:r>
      <w:r w:rsidR="00EA582D" w:rsidRPr="00381A7F">
        <w:t xml:space="preserve">PhD-granting programs associated with the BBSP, summer undergraduate research programs, and the Postbaccalaureate Research Experience Program (PREP). Faculty and students also recruit at undergraduate research conferences for students from under-represented groups, e.g. the annual ABRCMS and SACNAS events, where many students living with disabilities present their research. We make a concerted effort at these events to demonstrate UNC’s commitment to inclusion and diversity for students of all ability levels. </w:t>
      </w:r>
    </w:p>
    <w:p w14:paraId="5E24CFAA" w14:textId="2F0B274E" w:rsidR="00452DF8" w:rsidRPr="00381A7F" w:rsidRDefault="00247A0D" w:rsidP="00C44445">
      <w:pPr>
        <w:spacing w:after="120"/>
      </w:pPr>
      <w:r w:rsidRPr="00247A0D">
        <w:t>The OGE also extends our outreach efforts to the high school level. Dr. Patrick Brandt, Director of Career Development and Training in the OGE, serves on the planning committee for an annual STEM diversity event sponsored by the local statistics software development company, SAS. This annual STEM Career Showcase is a joint effort between SAS, the NC Museum of Natural Sciences, UNC, and Duke University. Over 100 middle and high school children with a variety of mobility and cognitive disabilities meet at the NC Museum of Natural Sciences to hear an encouraging and practical keynote address by a nationally recognized scientist, engineer, or mathematician who is living with disability. Each year, UNC graduate students living with disabilities have participated as panelists and mentors to the attendees. The event has served as motivation and affirmation to over 200 students with disabilities that their skills and abilities can and should be applied to STEM careers such as life science research</w:t>
      </w:r>
      <w:r w:rsidR="00EA582D" w:rsidRPr="00381A7F">
        <w:t>.</w:t>
      </w:r>
    </w:p>
    <w:p w14:paraId="453F9F19" w14:textId="2F8D8BD5" w:rsidR="00520A8B" w:rsidRPr="00381A7F" w:rsidRDefault="00A140B2" w:rsidP="00C44445">
      <w:pPr>
        <w:spacing w:after="120"/>
      </w:pPr>
      <w:r w:rsidRPr="00381A7F">
        <w:t>O</w:t>
      </w:r>
      <w:r w:rsidR="00520A8B" w:rsidRPr="00381A7F">
        <w:t>nce a student self-identifies as having a disability, we commit to providing academic and community support through IMSD</w:t>
      </w:r>
      <w:r w:rsidRPr="00381A7F">
        <w:t>, the OGE,</w:t>
      </w:r>
      <w:r w:rsidR="00520A8B" w:rsidRPr="00381A7F">
        <w:t xml:space="preserve"> and in conjunction with the </w:t>
      </w:r>
      <w:r w:rsidRPr="00381A7F">
        <w:t>Office of Accessibility Resources &amp; Service (ARS), which works to ensure that the programs and facilities of the University are accessible to all students.</w:t>
      </w:r>
      <w:r w:rsidR="00381A7F" w:rsidRPr="00381A7F">
        <w:t xml:space="preserve"> </w:t>
      </w:r>
      <w:r w:rsidRPr="00381A7F">
        <w:t xml:space="preserve">Additionally, ARS determines reasonable accommodations, including resources and services to provide students with disabilities with equal access to the opportunities available to them at </w:t>
      </w:r>
      <w:r w:rsidR="00D96E40">
        <w:t>UNC</w:t>
      </w:r>
      <w:r w:rsidR="00D96E40" w:rsidRPr="00381A7F">
        <w:t xml:space="preserve"> </w:t>
      </w:r>
      <w:r w:rsidRPr="00381A7F">
        <w:t>to help them be as independent as possible</w:t>
      </w:r>
      <w:r w:rsidR="00D96E40">
        <w:t>.</w:t>
      </w:r>
      <w:r w:rsidR="00381A7F" w:rsidRPr="00381A7F">
        <w:t xml:space="preserve"> </w:t>
      </w:r>
      <w:r w:rsidRPr="00381A7F">
        <w:t xml:space="preserve">For example, ARS worked with the </w:t>
      </w:r>
      <w:r w:rsidR="00D92DF9" w:rsidRPr="00381A7F">
        <w:t>OGE</w:t>
      </w:r>
      <w:r w:rsidRPr="00381A7F">
        <w:t xml:space="preserve"> to have a door installed in the BBSP offic</w:t>
      </w:r>
      <w:r w:rsidR="00B31F49">
        <w:t xml:space="preserve">e that would be accessible to </w:t>
      </w:r>
      <w:r w:rsidRPr="00381A7F">
        <w:t>current student</w:t>
      </w:r>
      <w:r w:rsidR="00B31F49">
        <w:t>s who use</w:t>
      </w:r>
      <w:r w:rsidRPr="00381A7F">
        <w:t xml:space="preserve"> a wheelchair.</w:t>
      </w:r>
      <w:r w:rsidR="00381A7F" w:rsidRPr="00381A7F">
        <w:t xml:space="preserve"> </w:t>
      </w:r>
      <w:r w:rsidR="00B52BB1" w:rsidRPr="00381A7F">
        <w:t xml:space="preserve">Additionally, </w:t>
      </w:r>
      <w:r w:rsidR="00A7225C">
        <w:t xml:space="preserve">in </w:t>
      </w:r>
      <w:r w:rsidR="00966FD5">
        <w:t>recent years</w:t>
      </w:r>
      <w:r w:rsidR="00A7225C">
        <w:t xml:space="preserve">, </w:t>
      </w:r>
      <w:r w:rsidR="00B52BB1" w:rsidRPr="00381A7F">
        <w:t xml:space="preserve">the OGE </w:t>
      </w:r>
      <w:r w:rsidR="00966FD5">
        <w:t xml:space="preserve">has </w:t>
      </w:r>
      <w:r w:rsidR="00A7225C">
        <w:t>worked</w:t>
      </w:r>
      <w:r w:rsidR="00B52BB1" w:rsidRPr="00381A7F">
        <w:t xml:space="preserve"> with ARS </w:t>
      </w:r>
      <w:r w:rsidR="00452DF8" w:rsidRPr="00381A7F">
        <w:t xml:space="preserve">and BBSP faculty </w:t>
      </w:r>
      <w:r w:rsidR="00B52BB1" w:rsidRPr="00381A7F">
        <w:t xml:space="preserve">to implement </w:t>
      </w:r>
      <w:r w:rsidR="00452DF8" w:rsidRPr="00381A7F">
        <w:t xml:space="preserve">classroom and laboratory </w:t>
      </w:r>
      <w:r w:rsidR="00B52BB1" w:rsidRPr="00381A7F">
        <w:t xml:space="preserve">accommodations for a BBSP </w:t>
      </w:r>
      <w:r w:rsidR="00452DF8" w:rsidRPr="00381A7F">
        <w:t>student</w:t>
      </w:r>
      <w:r w:rsidR="00966FD5">
        <w:t>s</w:t>
      </w:r>
      <w:r w:rsidR="00452DF8" w:rsidRPr="00381A7F">
        <w:t xml:space="preserve"> </w:t>
      </w:r>
      <w:r w:rsidR="00966FD5">
        <w:t>living with physical and/or emotional disabilities</w:t>
      </w:r>
      <w:r w:rsidR="00247A0D">
        <w:t>, including the use of classrooms with new audio support equipment to assist hearing-impaired students</w:t>
      </w:r>
      <w:r w:rsidR="00B52BB1" w:rsidRPr="00381A7F">
        <w:t>.</w:t>
      </w:r>
      <w:r w:rsidR="00381A7F" w:rsidRPr="00381A7F">
        <w:t xml:space="preserve"> </w:t>
      </w:r>
      <w:r w:rsidR="00B52BB1" w:rsidRPr="00381A7F">
        <w:lastRenderedPageBreak/>
        <w:t>S</w:t>
      </w:r>
      <w:r w:rsidRPr="00381A7F">
        <w:t xml:space="preserve">tudents </w:t>
      </w:r>
      <w:r w:rsidR="00D96E40">
        <w:t>may</w:t>
      </w:r>
      <w:r w:rsidR="00D96E40" w:rsidRPr="00381A7F">
        <w:t xml:space="preserve"> </w:t>
      </w:r>
      <w:r w:rsidRPr="00381A7F">
        <w:t>also have learning disabilities, anxiety and eating disorders, and other mental health issues.</w:t>
      </w:r>
      <w:r w:rsidR="00381A7F" w:rsidRPr="00381A7F">
        <w:t xml:space="preserve"> </w:t>
      </w:r>
      <w:r w:rsidR="00D92DF9" w:rsidRPr="00381A7F">
        <w:t xml:space="preserve">The entire OGE staff </w:t>
      </w:r>
      <w:r w:rsidR="00452DF8" w:rsidRPr="00381A7F">
        <w:t>is</w:t>
      </w:r>
      <w:r w:rsidR="00D92DF9" w:rsidRPr="00381A7F">
        <w:t xml:space="preserve"> certified in Mental Health First Aid, a national program that teaches the skills to respond to the signs of mental illness and substance</w:t>
      </w:r>
      <w:r w:rsidR="00452DF8" w:rsidRPr="00381A7F">
        <w:t xml:space="preserve"> abuse</w:t>
      </w:r>
      <w:r w:rsidR="00D92DF9" w:rsidRPr="00381A7F">
        <w:t>.</w:t>
      </w:r>
      <w:r w:rsidR="00381A7F" w:rsidRPr="00381A7F">
        <w:t xml:space="preserve"> </w:t>
      </w:r>
      <w:r w:rsidR="00AF3823">
        <w:t>Dr. Dave McDonald</w:t>
      </w:r>
      <w:r w:rsidRPr="00381A7F">
        <w:t xml:space="preserve">, </w:t>
      </w:r>
      <w:r w:rsidR="00D92DF9" w:rsidRPr="00381A7F">
        <w:t>Director of Student Affairs</w:t>
      </w:r>
      <w:r w:rsidRPr="00381A7F">
        <w:t xml:space="preserve"> </w:t>
      </w:r>
      <w:r w:rsidR="00D92DF9" w:rsidRPr="00381A7F">
        <w:t xml:space="preserve">for </w:t>
      </w:r>
      <w:r w:rsidRPr="00381A7F">
        <w:t xml:space="preserve">BBSP, </w:t>
      </w:r>
      <w:r w:rsidR="00D92DF9" w:rsidRPr="00381A7F">
        <w:t>and other OGE Directors often meet</w:t>
      </w:r>
      <w:r w:rsidRPr="00381A7F">
        <w:t xml:space="preserve"> with students who are having difficulties</w:t>
      </w:r>
      <w:r w:rsidR="004C2BA1" w:rsidRPr="00381A7F">
        <w:t>.</w:t>
      </w:r>
      <w:r w:rsidR="00381A7F" w:rsidRPr="00381A7F">
        <w:t xml:space="preserve"> </w:t>
      </w:r>
      <w:r w:rsidR="004C2BA1" w:rsidRPr="00381A7F">
        <w:t>These individuals are extremely</w:t>
      </w:r>
      <w:r w:rsidRPr="00381A7F">
        <w:t xml:space="preserve"> knowledgeable about the various resource</w:t>
      </w:r>
      <w:bookmarkStart w:id="0" w:name="_GoBack"/>
      <w:bookmarkEnd w:id="0"/>
      <w:r w:rsidRPr="00381A7F">
        <w:t>s on campus for students with mental health issues</w:t>
      </w:r>
      <w:r w:rsidR="004C2BA1" w:rsidRPr="00381A7F">
        <w:t xml:space="preserve"> including UNC’s Counseling and Psychological Services (CAPS) which is </w:t>
      </w:r>
      <w:r w:rsidRPr="00381A7F">
        <w:t xml:space="preserve">available through Campus Health Services </w:t>
      </w:r>
      <w:r w:rsidR="004C2BA1" w:rsidRPr="00381A7F">
        <w:t xml:space="preserve">and free to all </w:t>
      </w:r>
      <w:r w:rsidRPr="00381A7F">
        <w:t>registered students</w:t>
      </w:r>
      <w:r w:rsidR="004C2BA1" w:rsidRPr="00381A7F">
        <w:t>.</w:t>
      </w:r>
      <w:r w:rsidR="00381A7F" w:rsidRPr="00381A7F">
        <w:t xml:space="preserve"> </w:t>
      </w:r>
      <w:r w:rsidR="004C2BA1" w:rsidRPr="00381A7F">
        <w:t xml:space="preserve">Additionally, the OGE </w:t>
      </w:r>
      <w:r w:rsidR="00AF3823">
        <w:t>has</w:t>
      </w:r>
      <w:r w:rsidR="00786BB9">
        <w:t xml:space="preserve"> hired a Wellness Counselor to help support the mental and emotional health of</w:t>
      </w:r>
      <w:r w:rsidR="00F15C35">
        <w:t xml:space="preserve"> biomedical graduate students. </w:t>
      </w:r>
      <w:r w:rsidR="00786BB9">
        <w:t>Off-</w:t>
      </w:r>
      <w:r w:rsidR="004C2BA1" w:rsidRPr="00381A7F">
        <w:t xml:space="preserve">campus </w:t>
      </w:r>
      <w:r w:rsidRPr="00381A7F">
        <w:t xml:space="preserve">professionals </w:t>
      </w:r>
      <w:r w:rsidR="00786BB9">
        <w:t xml:space="preserve">are also available </w:t>
      </w:r>
      <w:r w:rsidRPr="00381A7F">
        <w:t xml:space="preserve">to meet </w:t>
      </w:r>
      <w:r w:rsidR="00BF2B1B">
        <w:t xml:space="preserve">with students who prefer not </w:t>
      </w:r>
      <w:r w:rsidRPr="00381A7F">
        <w:t xml:space="preserve">to </w:t>
      </w:r>
      <w:r w:rsidR="00786BB9">
        <w:t>utilize on-campus resources.</w:t>
      </w:r>
    </w:p>
    <w:sectPr w:rsidR="00520A8B" w:rsidRPr="00381A7F" w:rsidSect="005A6B8A">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CBDC" w14:textId="77777777" w:rsidR="003D0ED3" w:rsidRDefault="003D0ED3" w:rsidP="00C90F85">
      <w:r>
        <w:separator/>
      </w:r>
    </w:p>
  </w:endnote>
  <w:endnote w:type="continuationSeparator" w:id="0">
    <w:p w14:paraId="33DCF0D0" w14:textId="77777777" w:rsidR="003D0ED3" w:rsidRDefault="003D0ED3" w:rsidP="00C9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7C31" w14:textId="77777777" w:rsidR="003D0ED3" w:rsidRDefault="003D0ED3" w:rsidP="00C90F85">
      <w:r>
        <w:separator/>
      </w:r>
    </w:p>
  </w:footnote>
  <w:footnote w:type="continuationSeparator" w:id="0">
    <w:p w14:paraId="6BEB3C67" w14:textId="77777777" w:rsidR="003D0ED3" w:rsidRDefault="003D0ED3" w:rsidP="00C9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0562050"/>
      <w:docPartObj>
        <w:docPartGallery w:val="Page Numbers (Top of Page)"/>
        <w:docPartUnique/>
      </w:docPartObj>
    </w:sdtPr>
    <w:sdtEndPr>
      <w:rPr>
        <w:rStyle w:val="PageNumber"/>
      </w:rPr>
    </w:sdtEndPr>
    <w:sdtContent>
      <w:p w14:paraId="266FAC02" w14:textId="54E4359B" w:rsidR="00FD7D1D" w:rsidRDefault="00FD7D1D" w:rsidP="006B76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5106A" w14:textId="77777777" w:rsidR="00FD7D1D" w:rsidRDefault="00FD7D1D" w:rsidP="00FD7D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5093438"/>
      <w:docPartObj>
        <w:docPartGallery w:val="Page Numbers (Top of Page)"/>
        <w:docPartUnique/>
      </w:docPartObj>
    </w:sdtPr>
    <w:sdtEndPr>
      <w:rPr>
        <w:rStyle w:val="PageNumber"/>
      </w:rPr>
    </w:sdtEndPr>
    <w:sdtContent>
      <w:p w14:paraId="1803BD5C" w14:textId="01D4C9BA" w:rsidR="00FD7D1D" w:rsidRDefault="00FD7D1D" w:rsidP="006B76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2F5F">
          <w:rPr>
            <w:rStyle w:val="PageNumber"/>
            <w:noProof/>
          </w:rPr>
          <w:t>6</w:t>
        </w:r>
        <w:r>
          <w:rPr>
            <w:rStyle w:val="PageNumber"/>
          </w:rPr>
          <w:fldChar w:fldCharType="end"/>
        </w:r>
      </w:p>
    </w:sdtContent>
  </w:sdt>
  <w:p w14:paraId="35100F50" w14:textId="3C906548" w:rsidR="00ED6108" w:rsidRDefault="00ED6108" w:rsidP="00FD7D1D">
    <w:pPr>
      <w:pStyle w:val="Header"/>
      <w:ind w:right="360"/>
      <w:rPr>
        <w:i/>
        <w:sz w:val="20"/>
        <w:szCs w:val="20"/>
        <w:lang w:val="en-US"/>
      </w:rPr>
    </w:pPr>
    <w:r>
      <w:rPr>
        <w:i/>
        <w:sz w:val="20"/>
        <w:szCs w:val="20"/>
      </w:rPr>
      <w:t>updated</w:t>
    </w:r>
    <w:r w:rsidR="00875E84">
      <w:rPr>
        <w:i/>
        <w:sz w:val="20"/>
        <w:szCs w:val="20"/>
        <w:lang w:val="en-US"/>
      </w:rPr>
      <w:t>/</w:t>
    </w:r>
    <w:r w:rsidR="00002A94">
      <w:rPr>
        <w:i/>
        <w:sz w:val="20"/>
        <w:szCs w:val="20"/>
        <w:lang w:val="en-US"/>
      </w:rPr>
      <w:t>November</w:t>
    </w:r>
    <w:r w:rsidR="00875E84">
      <w:rPr>
        <w:i/>
        <w:sz w:val="20"/>
        <w:szCs w:val="20"/>
        <w:lang w:val="en-US"/>
      </w:rPr>
      <w:t xml:space="preserve"> 2020</w:t>
    </w:r>
  </w:p>
  <w:p w14:paraId="634B4BDE" w14:textId="77777777" w:rsidR="00FD7D1D" w:rsidRPr="0087671C" w:rsidRDefault="00FD7D1D" w:rsidP="00FD7D1D">
    <w:pPr>
      <w:pStyle w:val="Header"/>
      <w:ind w:right="360"/>
      <w:rPr>
        <w: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BAB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25786"/>
    <w:multiLevelType w:val="hybridMultilevel"/>
    <w:tmpl w:val="CB7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13642"/>
    <w:multiLevelType w:val="hybridMultilevel"/>
    <w:tmpl w:val="80A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8C"/>
    <w:rsid w:val="00002A94"/>
    <w:rsid w:val="000252C9"/>
    <w:rsid w:val="000536C6"/>
    <w:rsid w:val="00057A77"/>
    <w:rsid w:val="00063EDE"/>
    <w:rsid w:val="000658B8"/>
    <w:rsid w:val="000B0161"/>
    <w:rsid w:val="000D0B48"/>
    <w:rsid w:val="000D1A31"/>
    <w:rsid w:val="00100CCE"/>
    <w:rsid w:val="001F0F16"/>
    <w:rsid w:val="001F5E6A"/>
    <w:rsid w:val="002308EA"/>
    <w:rsid w:val="00234D5F"/>
    <w:rsid w:val="00247A0D"/>
    <w:rsid w:val="00263B31"/>
    <w:rsid w:val="002735DF"/>
    <w:rsid w:val="00282EF4"/>
    <w:rsid w:val="002863BB"/>
    <w:rsid w:val="002875FC"/>
    <w:rsid w:val="0028764E"/>
    <w:rsid w:val="0029077A"/>
    <w:rsid w:val="002A0050"/>
    <w:rsid w:val="002B380B"/>
    <w:rsid w:val="002B5471"/>
    <w:rsid w:val="002C4EE1"/>
    <w:rsid w:val="002C5951"/>
    <w:rsid w:val="002E0B8C"/>
    <w:rsid w:val="002F538B"/>
    <w:rsid w:val="00303D16"/>
    <w:rsid w:val="00343172"/>
    <w:rsid w:val="00343457"/>
    <w:rsid w:val="0034564A"/>
    <w:rsid w:val="003639CD"/>
    <w:rsid w:val="003765FD"/>
    <w:rsid w:val="00376BC3"/>
    <w:rsid w:val="00381A7F"/>
    <w:rsid w:val="00382145"/>
    <w:rsid w:val="003B7754"/>
    <w:rsid w:val="003D0ED3"/>
    <w:rsid w:val="00401CC4"/>
    <w:rsid w:val="00432D9A"/>
    <w:rsid w:val="00451CBC"/>
    <w:rsid w:val="00452DF8"/>
    <w:rsid w:val="004567F6"/>
    <w:rsid w:val="00461FC7"/>
    <w:rsid w:val="00464AF2"/>
    <w:rsid w:val="004A0F8E"/>
    <w:rsid w:val="004B42A4"/>
    <w:rsid w:val="004C2BA1"/>
    <w:rsid w:val="004D696E"/>
    <w:rsid w:val="004E3536"/>
    <w:rsid w:val="004F6EFF"/>
    <w:rsid w:val="0051057F"/>
    <w:rsid w:val="00520A8B"/>
    <w:rsid w:val="00544990"/>
    <w:rsid w:val="00561B5E"/>
    <w:rsid w:val="00582508"/>
    <w:rsid w:val="005920C5"/>
    <w:rsid w:val="005A6B8A"/>
    <w:rsid w:val="005B06B9"/>
    <w:rsid w:val="005F10D9"/>
    <w:rsid w:val="005F6F4E"/>
    <w:rsid w:val="00611F29"/>
    <w:rsid w:val="00617AB3"/>
    <w:rsid w:val="00634068"/>
    <w:rsid w:val="0064241F"/>
    <w:rsid w:val="006701CF"/>
    <w:rsid w:val="0069032B"/>
    <w:rsid w:val="00693A53"/>
    <w:rsid w:val="006958FA"/>
    <w:rsid w:val="006B499E"/>
    <w:rsid w:val="006B6542"/>
    <w:rsid w:val="006C2F82"/>
    <w:rsid w:val="006C5DF1"/>
    <w:rsid w:val="00722F5F"/>
    <w:rsid w:val="00726F42"/>
    <w:rsid w:val="0077529E"/>
    <w:rsid w:val="00780231"/>
    <w:rsid w:val="00786BB9"/>
    <w:rsid w:val="007A6CBA"/>
    <w:rsid w:val="007B1361"/>
    <w:rsid w:val="007E26D7"/>
    <w:rsid w:val="00820B8F"/>
    <w:rsid w:val="00822BD1"/>
    <w:rsid w:val="00822C0F"/>
    <w:rsid w:val="0084134A"/>
    <w:rsid w:val="00875E84"/>
    <w:rsid w:val="0087671C"/>
    <w:rsid w:val="00890988"/>
    <w:rsid w:val="00897E69"/>
    <w:rsid w:val="008A1CCD"/>
    <w:rsid w:val="008C3042"/>
    <w:rsid w:val="00907228"/>
    <w:rsid w:val="009415F0"/>
    <w:rsid w:val="009576B6"/>
    <w:rsid w:val="00957C39"/>
    <w:rsid w:val="009628C8"/>
    <w:rsid w:val="00966FD5"/>
    <w:rsid w:val="00985088"/>
    <w:rsid w:val="00990240"/>
    <w:rsid w:val="009E437A"/>
    <w:rsid w:val="00A04F3C"/>
    <w:rsid w:val="00A07D0A"/>
    <w:rsid w:val="00A140B2"/>
    <w:rsid w:val="00A3451E"/>
    <w:rsid w:val="00A52B40"/>
    <w:rsid w:val="00A7225C"/>
    <w:rsid w:val="00A950D7"/>
    <w:rsid w:val="00AA61CF"/>
    <w:rsid w:val="00AB0E2E"/>
    <w:rsid w:val="00AD6695"/>
    <w:rsid w:val="00AE64DD"/>
    <w:rsid w:val="00AF3823"/>
    <w:rsid w:val="00B315BD"/>
    <w:rsid w:val="00B31CC2"/>
    <w:rsid w:val="00B31F49"/>
    <w:rsid w:val="00B32C83"/>
    <w:rsid w:val="00B52BB1"/>
    <w:rsid w:val="00B55F3D"/>
    <w:rsid w:val="00B83323"/>
    <w:rsid w:val="00B95567"/>
    <w:rsid w:val="00BB3BBF"/>
    <w:rsid w:val="00BC13CD"/>
    <w:rsid w:val="00BC4DD9"/>
    <w:rsid w:val="00BD295C"/>
    <w:rsid w:val="00BD3666"/>
    <w:rsid w:val="00BD58B2"/>
    <w:rsid w:val="00BF2B1B"/>
    <w:rsid w:val="00BF498A"/>
    <w:rsid w:val="00C219FD"/>
    <w:rsid w:val="00C42570"/>
    <w:rsid w:val="00C428FC"/>
    <w:rsid w:val="00C44445"/>
    <w:rsid w:val="00C575A6"/>
    <w:rsid w:val="00C74D8A"/>
    <w:rsid w:val="00C80880"/>
    <w:rsid w:val="00C87E34"/>
    <w:rsid w:val="00C90F85"/>
    <w:rsid w:val="00CC1F01"/>
    <w:rsid w:val="00CC4232"/>
    <w:rsid w:val="00CD64B1"/>
    <w:rsid w:val="00CE7A95"/>
    <w:rsid w:val="00CF7885"/>
    <w:rsid w:val="00CF7ACA"/>
    <w:rsid w:val="00D10AEF"/>
    <w:rsid w:val="00D42B21"/>
    <w:rsid w:val="00D52447"/>
    <w:rsid w:val="00D74031"/>
    <w:rsid w:val="00D90C1F"/>
    <w:rsid w:val="00D92DF9"/>
    <w:rsid w:val="00D96E40"/>
    <w:rsid w:val="00DA2417"/>
    <w:rsid w:val="00DF4240"/>
    <w:rsid w:val="00E10374"/>
    <w:rsid w:val="00E116ED"/>
    <w:rsid w:val="00E502B2"/>
    <w:rsid w:val="00E605F7"/>
    <w:rsid w:val="00E7073A"/>
    <w:rsid w:val="00E855BA"/>
    <w:rsid w:val="00EA4855"/>
    <w:rsid w:val="00EA582D"/>
    <w:rsid w:val="00ED0529"/>
    <w:rsid w:val="00ED6108"/>
    <w:rsid w:val="00EF695D"/>
    <w:rsid w:val="00F15C35"/>
    <w:rsid w:val="00F5640C"/>
    <w:rsid w:val="00FB62F5"/>
    <w:rsid w:val="00FD7D1D"/>
    <w:rsid w:val="00FF43E1"/>
    <w:rsid w:val="00FF68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912031"/>
  <w14:defaultImageDpi w14:val="300"/>
  <w15:docId w15:val="{9FAF6603-5ABD-46D2-BC4D-2528D84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rPr>
      <w:rFonts w:ascii="Lucida Grande" w:hAnsi="Lucida Grande"/>
      <w:sz w:val="18"/>
      <w:szCs w:val="18"/>
    </w:rPr>
  </w:style>
  <w:style w:type="paragraph" w:styleId="Header">
    <w:name w:val="header"/>
    <w:basedOn w:val="Normal"/>
    <w:link w:val="HeaderChar"/>
    <w:rsid w:val="002E0B8C"/>
    <w:pPr>
      <w:tabs>
        <w:tab w:val="center" w:pos="4320"/>
        <w:tab w:val="right" w:pos="8640"/>
      </w:tabs>
      <w:autoSpaceDE w:val="0"/>
      <w:autoSpaceDN w:val="0"/>
    </w:pPr>
    <w:rPr>
      <w:rFonts w:ascii="Times" w:hAnsi="Times"/>
      <w:lang w:val="x-none" w:eastAsia="x-none"/>
    </w:rPr>
  </w:style>
  <w:style w:type="character" w:customStyle="1" w:styleId="HeaderChar">
    <w:name w:val="Header Char"/>
    <w:link w:val="Header"/>
    <w:rsid w:val="002E0B8C"/>
    <w:rPr>
      <w:rFonts w:ascii="Times" w:eastAsia="Times New Roman" w:hAnsi="Times" w:cs="Times"/>
      <w:sz w:val="24"/>
      <w:szCs w:val="24"/>
    </w:rPr>
  </w:style>
  <w:style w:type="character" w:styleId="Hyperlink">
    <w:name w:val="Hyperlink"/>
    <w:rsid w:val="002E0B8C"/>
    <w:rPr>
      <w:color w:val="0000FF"/>
      <w:u w:val="single"/>
    </w:rPr>
  </w:style>
  <w:style w:type="paragraph" w:styleId="BodyText3">
    <w:name w:val="Body Text 3"/>
    <w:basedOn w:val="Normal"/>
    <w:link w:val="BodyText3Char"/>
    <w:rsid w:val="002E0B8C"/>
    <w:pPr>
      <w:autoSpaceDE w:val="0"/>
      <w:autoSpaceDN w:val="0"/>
      <w:spacing w:after="120"/>
    </w:pPr>
    <w:rPr>
      <w:rFonts w:ascii="Times" w:hAnsi="Times"/>
      <w:sz w:val="16"/>
      <w:szCs w:val="16"/>
      <w:lang w:val="x-none" w:eastAsia="x-none"/>
    </w:rPr>
  </w:style>
  <w:style w:type="character" w:customStyle="1" w:styleId="BodyText3Char">
    <w:name w:val="Body Text 3 Char"/>
    <w:link w:val="BodyText3"/>
    <w:rsid w:val="002E0B8C"/>
    <w:rPr>
      <w:rFonts w:ascii="Times" w:eastAsia="Times New Roman" w:hAnsi="Times" w:cs="Times"/>
      <w:sz w:val="16"/>
      <w:szCs w:val="16"/>
    </w:rPr>
  </w:style>
  <w:style w:type="paragraph" w:customStyle="1" w:styleId="ColorfulList-Accent11">
    <w:name w:val="Colorful List - Accent 11"/>
    <w:basedOn w:val="Normal"/>
    <w:uiPriority w:val="34"/>
    <w:qFormat/>
    <w:rsid w:val="002E0B8C"/>
    <w:pPr>
      <w:spacing w:after="200"/>
      <w:ind w:left="720"/>
      <w:contextualSpacing/>
    </w:pPr>
    <w:rPr>
      <w:rFonts w:ascii="Calibri" w:eastAsia="Calibri" w:hAnsi="Calibri"/>
    </w:rPr>
  </w:style>
  <w:style w:type="character" w:styleId="CommentReference">
    <w:name w:val="annotation reference"/>
    <w:uiPriority w:val="99"/>
    <w:semiHidden/>
    <w:unhideWhenUsed/>
    <w:rsid w:val="00E7713E"/>
    <w:rPr>
      <w:sz w:val="18"/>
      <w:szCs w:val="18"/>
    </w:rPr>
  </w:style>
  <w:style w:type="paragraph" w:styleId="CommentText">
    <w:name w:val="annotation text"/>
    <w:basedOn w:val="Normal"/>
    <w:link w:val="CommentTextChar"/>
    <w:uiPriority w:val="99"/>
    <w:semiHidden/>
    <w:unhideWhenUsed/>
    <w:rsid w:val="00E7713E"/>
    <w:rPr>
      <w:lang w:val="x-none" w:eastAsia="x-none"/>
    </w:rPr>
  </w:style>
  <w:style w:type="character" w:customStyle="1" w:styleId="CommentTextChar">
    <w:name w:val="Comment Text Char"/>
    <w:link w:val="CommentText"/>
    <w:uiPriority w:val="99"/>
    <w:semiHidden/>
    <w:rsid w:val="00E7713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7713E"/>
    <w:rPr>
      <w:b/>
      <w:bCs/>
    </w:rPr>
  </w:style>
  <w:style w:type="character" w:customStyle="1" w:styleId="CommentSubjectChar">
    <w:name w:val="Comment Subject Char"/>
    <w:link w:val="CommentSubject"/>
    <w:uiPriority w:val="99"/>
    <w:semiHidden/>
    <w:rsid w:val="00E7713E"/>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C90F85"/>
    <w:pPr>
      <w:tabs>
        <w:tab w:val="center" w:pos="4320"/>
        <w:tab w:val="right" w:pos="8640"/>
      </w:tabs>
    </w:pPr>
  </w:style>
  <w:style w:type="character" w:customStyle="1" w:styleId="FooterChar">
    <w:name w:val="Footer Char"/>
    <w:link w:val="Footer"/>
    <w:uiPriority w:val="99"/>
    <w:rsid w:val="00C90F85"/>
    <w:rPr>
      <w:rFonts w:ascii="Times New Roman" w:eastAsia="Times New Roman" w:hAnsi="Times New Roman"/>
      <w:sz w:val="24"/>
      <w:szCs w:val="24"/>
    </w:rPr>
  </w:style>
  <w:style w:type="paragraph" w:styleId="Revision">
    <w:name w:val="Revision"/>
    <w:hidden/>
    <w:uiPriority w:val="71"/>
    <w:rsid w:val="008C3042"/>
  </w:style>
  <w:style w:type="character" w:styleId="FollowedHyperlink">
    <w:name w:val="FollowedHyperlink"/>
    <w:basedOn w:val="DefaultParagraphFont"/>
    <w:uiPriority w:val="99"/>
    <w:semiHidden/>
    <w:unhideWhenUsed/>
    <w:rsid w:val="009415F0"/>
    <w:rPr>
      <w:color w:val="800080" w:themeColor="followedHyperlink"/>
      <w:u w:val="single"/>
    </w:rPr>
  </w:style>
  <w:style w:type="character" w:customStyle="1" w:styleId="UnresolvedMention">
    <w:name w:val="Unresolved Mention"/>
    <w:basedOn w:val="DefaultParagraphFont"/>
    <w:uiPriority w:val="99"/>
    <w:rsid w:val="002C4EE1"/>
    <w:rPr>
      <w:color w:val="808080"/>
      <w:shd w:val="clear" w:color="auto" w:fill="E6E6E6"/>
    </w:rPr>
  </w:style>
  <w:style w:type="table" w:styleId="TableGrid">
    <w:name w:val="Table Grid"/>
    <w:basedOn w:val="TableNormal"/>
    <w:rsid w:val="00FD7D1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3162">
      <w:bodyDiv w:val="1"/>
      <w:marLeft w:val="0"/>
      <w:marRight w:val="0"/>
      <w:marTop w:val="0"/>
      <w:marBottom w:val="0"/>
      <w:divBdr>
        <w:top w:val="none" w:sz="0" w:space="0" w:color="auto"/>
        <w:left w:val="none" w:sz="0" w:space="0" w:color="auto"/>
        <w:bottom w:val="none" w:sz="0" w:space="0" w:color="auto"/>
        <w:right w:val="none" w:sz="0" w:space="0" w:color="auto"/>
      </w:divBdr>
    </w:div>
    <w:div w:id="643436242">
      <w:bodyDiv w:val="1"/>
      <w:marLeft w:val="0"/>
      <w:marRight w:val="0"/>
      <w:marTop w:val="0"/>
      <w:marBottom w:val="0"/>
      <w:divBdr>
        <w:top w:val="none" w:sz="0" w:space="0" w:color="auto"/>
        <w:left w:val="none" w:sz="0" w:space="0" w:color="auto"/>
        <w:bottom w:val="none" w:sz="0" w:space="0" w:color="auto"/>
        <w:right w:val="none" w:sz="0" w:space="0" w:color="auto"/>
      </w:divBdr>
    </w:div>
    <w:div w:id="815688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eeducation.com/top100/pages/GraduateDegreeProducers2019.php?dtsearch=&amp;dtdegree=Doctor%27s%20%20%20%5C-%20research%5C/scholarship&amp;dtrace=&amp;dtmajor=Biological%20And%20Biomedical%20Sciences&amp;dtschool=University%20of%20North%20Carolina%20at%20Chapel%20Hill&amp;dtstate=&amp;dtpag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5008874/pdf/ar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wash u</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miller</dc:creator>
  <cp:lastModifiedBy>Mcdonald, Dave</cp:lastModifiedBy>
  <cp:revision>16</cp:revision>
  <cp:lastPrinted>2019-10-14T15:46:00Z</cp:lastPrinted>
  <dcterms:created xsi:type="dcterms:W3CDTF">2020-04-24T16:19:00Z</dcterms:created>
  <dcterms:modified xsi:type="dcterms:W3CDTF">2020-11-10T15:58:00Z</dcterms:modified>
</cp:coreProperties>
</file>