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A88" w:rsidRDefault="002E1A88" w:rsidP="0012544D">
      <w:pPr>
        <w:spacing w:after="120"/>
        <w:rPr>
          <w:rFonts w:ascii="Arial" w:hAnsi="Arial" w:cs="Arial"/>
          <w:b/>
          <w:sz w:val="22"/>
          <w:szCs w:val="23"/>
        </w:rPr>
      </w:pPr>
      <w:r>
        <w:rPr>
          <w:rFonts w:ascii="Arial" w:hAnsi="Arial" w:cs="Arial"/>
          <w:b/>
          <w:sz w:val="22"/>
          <w:szCs w:val="23"/>
        </w:rPr>
        <w:t>[Note: The text below</w:t>
      </w:r>
      <w:r w:rsidR="006D316E">
        <w:rPr>
          <w:rFonts w:ascii="Arial" w:hAnsi="Arial" w:cs="Arial"/>
          <w:b/>
          <w:sz w:val="22"/>
          <w:szCs w:val="23"/>
        </w:rPr>
        <w:t xml:space="preserve"> is just a suggestion and needs personalized information for your program.  You will most likely want to rearrange, shorten, lengthen, etc to fit your individual needs.]</w:t>
      </w:r>
    </w:p>
    <w:p w:rsidR="007F43B2" w:rsidRDefault="007F43B2" w:rsidP="0012544D">
      <w:pPr>
        <w:spacing w:after="120"/>
        <w:rPr>
          <w:rFonts w:ascii="Arial" w:hAnsi="Arial" w:cs="Arial"/>
          <w:b/>
          <w:sz w:val="22"/>
          <w:szCs w:val="23"/>
        </w:rPr>
      </w:pPr>
      <w:r>
        <w:rPr>
          <w:rFonts w:ascii="Arial" w:hAnsi="Arial" w:cs="Arial"/>
          <w:b/>
          <w:sz w:val="22"/>
          <w:szCs w:val="23"/>
        </w:rPr>
        <w:t xml:space="preserve">Email </w:t>
      </w:r>
      <w:r w:rsidR="00F970F5">
        <w:rPr>
          <w:rFonts w:ascii="Arial" w:hAnsi="Arial" w:cs="Arial"/>
          <w:b/>
          <w:sz w:val="22"/>
          <w:szCs w:val="23"/>
        </w:rPr>
        <w:t>David McDonald</w:t>
      </w:r>
      <w:r>
        <w:rPr>
          <w:rFonts w:ascii="Arial" w:hAnsi="Arial" w:cs="Arial"/>
          <w:b/>
          <w:sz w:val="22"/>
          <w:szCs w:val="23"/>
        </w:rPr>
        <w:t xml:space="preserve"> to request a spreadsheet outlining faculty service to BBSP (admissions committees and FYG service)</w:t>
      </w:r>
    </w:p>
    <w:p w:rsidR="002E1A88" w:rsidRDefault="002E1A88" w:rsidP="0012544D">
      <w:pPr>
        <w:spacing w:after="120"/>
        <w:rPr>
          <w:rFonts w:ascii="Arial" w:hAnsi="Arial" w:cs="Arial"/>
          <w:b/>
          <w:sz w:val="22"/>
          <w:szCs w:val="23"/>
        </w:rPr>
      </w:pPr>
    </w:p>
    <w:p w:rsidR="002E1A88" w:rsidRDefault="002E1A88" w:rsidP="0012544D">
      <w:pPr>
        <w:spacing w:after="120"/>
        <w:rPr>
          <w:rFonts w:ascii="Arial" w:hAnsi="Arial" w:cs="Arial"/>
          <w:b/>
          <w:sz w:val="22"/>
          <w:szCs w:val="23"/>
        </w:rPr>
      </w:pPr>
    </w:p>
    <w:p w:rsidR="0012544D" w:rsidRPr="00C02DC1" w:rsidRDefault="0012544D" w:rsidP="0012544D">
      <w:pPr>
        <w:spacing w:after="120"/>
        <w:rPr>
          <w:rFonts w:ascii="Arial" w:hAnsi="Arial" w:cs="Arial"/>
          <w:sz w:val="22"/>
          <w:szCs w:val="23"/>
        </w:rPr>
      </w:pPr>
      <w:r w:rsidRPr="00C02DC1">
        <w:rPr>
          <w:rFonts w:ascii="Arial" w:hAnsi="Arial" w:cs="Arial"/>
          <w:b/>
          <w:sz w:val="22"/>
          <w:szCs w:val="23"/>
        </w:rPr>
        <w:t>The Biological and Biomedical Sciences Program (BBSP).</w:t>
      </w:r>
      <w:r w:rsidRPr="00C02DC1">
        <w:rPr>
          <w:rFonts w:ascii="Arial" w:hAnsi="Arial" w:cs="Arial"/>
          <w:sz w:val="22"/>
          <w:szCs w:val="23"/>
        </w:rPr>
        <w:t xml:space="preserve">  In 2007 UNC consolidated its graduate recruitment and first year training in the biological and biomedical sciences into a unified BBSP admissions/first year program</w:t>
      </w:r>
      <w:r>
        <w:rPr>
          <w:rFonts w:ascii="Arial" w:hAnsi="Arial" w:cs="Arial"/>
          <w:sz w:val="22"/>
          <w:szCs w:val="23"/>
        </w:rPr>
        <w:t>,</w:t>
      </w:r>
      <w:r w:rsidRPr="00C02DC1">
        <w:rPr>
          <w:rFonts w:ascii="Arial" w:hAnsi="Arial" w:cs="Arial"/>
          <w:sz w:val="22"/>
          <w:szCs w:val="23"/>
        </w:rPr>
        <w:t xml:space="preserve"> led by </w:t>
      </w:r>
      <w:r w:rsidRPr="00C02DC1">
        <w:rPr>
          <w:rFonts w:ascii="Arial" w:hAnsi="Arial" w:cs="Arial"/>
          <w:b/>
          <w:sz w:val="22"/>
          <w:szCs w:val="23"/>
        </w:rPr>
        <w:t xml:space="preserve">Dr. </w:t>
      </w:r>
      <w:r w:rsidR="00AB6D1E">
        <w:rPr>
          <w:rFonts w:ascii="Arial" w:hAnsi="Arial" w:cs="Arial"/>
          <w:b/>
          <w:sz w:val="22"/>
          <w:szCs w:val="23"/>
        </w:rPr>
        <w:t>Jean Cook</w:t>
      </w:r>
      <w:r w:rsidRPr="00C02DC1">
        <w:rPr>
          <w:rFonts w:ascii="Arial" w:hAnsi="Arial" w:cs="Arial"/>
          <w:b/>
          <w:sz w:val="22"/>
          <w:szCs w:val="23"/>
        </w:rPr>
        <w:t xml:space="preserve">. </w:t>
      </w:r>
      <w:r w:rsidRPr="00C02DC1">
        <w:rPr>
          <w:rFonts w:ascii="Arial" w:hAnsi="Arial" w:cs="Arial"/>
          <w:sz w:val="22"/>
          <w:szCs w:val="23"/>
        </w:rPr>
        <w:t xml:space="preserve"> BBSP provides the mechanism through which students interested in any of the 1</w:t>
      </w:r>
      <w:r w:rsidR="00F970F5">
        <w:rPr>
          <w:rFonts w:ascii="Arial" w:hAnsi="Arial" w:cs="Arial"/>
          <w:sz w:val="22"/>
          <w:szCs w:val="23"/>
        </w:rPr>
        <w:t>4</w:t>
      </w:r>
      <w:r w:rsidRPr="00C02DC1">
        <w:rPr>
          <w:rFonts w:ascii="Arial" w:hAnsi="Arial" w:cs="Arial"/>
          <w:sz w:val="22"/>
          <w:szCs w:val="23"/>
        </w:rPr>
        <w:t xml:space="preserve"> participating PhD programs apply for graduate study.  The BBSP provides first-year PhD students with opportunities to explore different research areas (through research rotations and courses) before making a final selection of a dissertation advisor and graduate program.  Yet, it in no way impedes direct tracking of students who enter with a defined interest in a research area </w:t>
      </w:r>
      <w:r>
        <w:rPr>
          <w:rFonts w:ascii="Arial" w:hAnsi="Arial" w:cs="Arial"/>
          <w:sz w:val="22"/>
          <w:szCs w:val="23"/>
        </w:rPr>
        <w:t xml:space="preserve">or degree program.  </w:t>
      </w:r>
      <w:r w:rsidRPr="00C02DC1">
        <w:rPr>
          <w:rFonts w:ascii="Arial" w:hAnsi="Arial" w:cs="Arial"/>
          <w:sz w:val="22"/>
          <w:szCs w:val="23"/>
        </w:rPr>
        <w:t xml:space="preserve">In short, students participating in the proposed </w:t>
      </w:r>
      <w:r w:rsidRPr="00D77343">
        <w:rPr>
          <w:rFonts w:ascii="Arial" w:hAnsi="Arial" w:cs="Arial"/>
          <w:b/>
          <w:sz w:val="22"/>
          <w:szCs w:val="23"/>
          <w:highlight w:val="yellow"/>
        </w:rPr>
        <w:t>“</w:t>
      </w:r>
      <w:r w:rsidR="00D77343" w:rsidRPr="00D77343">
        <w:rPr>
          <w:rFonts w:ascii="Arial" w:hAnsi="Arial" w:cs="Arial"/>
          <w:b/>
          <w:sz w:val="22"/>
          <w:szCs w:val="23"/>
          <w:highlight w:val="yellow"/>
        </w:rPr>
        <w:t>XXXXXX</w:t>
      </w:r>
      <w:r w:rsidRPr="00D77343">
        <w:rPr>
          <w:rFonts w:ascii="Arial" w:hAnsi="Arial" w:cs="Arial"/>
          <w:b/>
          <w:sz w:val="22"/>
          <w:szCs w:val="23"/>
          <w:highlight w:val="yellow"/>
        </w:rPr>
        <w:t>”</w:t>
      </w:r>
      <w:r w:rsidRPr="00C02DC1">
        <w:rPr>
          <w:rFonts w:ascii="Arial" w:hAnsi="Arial" w:cs="Arial"/>
          <w:b/>
          <w:sz w:val="22"/>
          <w:szCs w:val="23"/>
        </w:rPr>
        <w:t xml:space="preserve"> </w:t>
      </w:r>
      <w:r w:rsidRPr="00C02DC1">
        <w:rPr>
          <w:rFonts w:ascii="Arial" w:hAnsi="Arial" w:cs="Arial"/>
          <w:sz w:val="22"/>
          <w:szCs w:val="23"/>
        </w:rPr>
        <w:t>program will be admitted to graduate school at UNC via the BBSP and</w:t>
      </w:r>
      <w:r>
        <w:rPr>
          <w:rFonts w:ascii="Arial" w:hAnsi="Arial" w:cs="Arial"/>
          <w:sz w:val="22"/>
          <w:szCs w:val="23"/>
        </w:rPr>
        <w:t>,</w:t>
      </w:r>
      <w:r w:rsidRPr="00C02DC1">
        <w:rPr>
          <w:rFonts w:ascii="Arial" w:hAnsi="Arial" w:cs="Arial"/>
          <w:sz w:val="22"/>
          <w:szCs w:val="23"/>
        </w:rPr>
        <w:t xml:space="preserve"> at the end of their first year</w:t>
      </w:r>
      <w:r>
        <w:rPr>
          <w:rFonts w:ascii="Arial" w:hAnsi="Arial" w:cs="Arial"/>
          <w:sz w:val="22"/>
          <w:szCs w:val="23"/>
        </w:rPr>
        <w:t>,</w:t>
      </w:r>
      <w:r w:rsidRPr="00C02DC1">
        <w:rPr>
          <w:rFonts w:ascii="Arial" w:hAnsi="Arial" w:cs="Arial"/>
          <w:sz w:val="22"/>
          <w:szCs w:val="23"/>
        </w:rPr>
        <w:t xml:space="preserve"> will choose </w:t>
      </w:r>
      <w:r>
        <w:rPr>
          <w:rFonts w:ascii="Arial" w:hAnsi="Arial" w:cs="Arial"/>
          <w:sz w:val="22"/>
          <w:szCs w:val="23"/>
        </w:rPr>
        <w:t xml:space="preserve">one of our training faculty as research advisor and </w:t>
      </w:r>
      <w:r w:rsidRPr="00C02DC1">
        <w:rPr>
          <w:rFonts w:ascii="Arial" w:hAnsi="Arial" w:cs="Arial"/>
          <w:sz w:val="22"/>
          <w:szCs w:val="23"/>
        </w:rPr>
        <w:t>the</w:t>
      </w:r>
      <w:r>
        <w:rPr>
          <w:rFonts w:ascii="Arial" w:hAnsi="Arial" w:cs="Arial"/>
          <w:sz w:val="22"/>
          <w:szCs w:val="23"/>
        </w:rPr>
        <w:t>y will choose</w:t>
      </w:r>
      <w:r w:rsidRPr="00C02DC1">
        <w:rPr>
          <w:rFonts w:ascii="Arial" w:hAnsi="Arial" w:cs="Arial"/>
          <w:sz w:val="22"/>
          <w:szCs w:val="23"/>
        </w:rPr>
        <w:t xml:space="preserve"> </w:t>
      </w:r>
      <w:r w:rsidR="00D77343" w:rsidRPr="00D77343">
        <w:rPr>
          <w:rFonts w:ascii="Arial" w:hAnsi="Arial" w:cs="Arial"/>
          <w:sz w:val="22"/>
          <w:szCs w:val="23"/>
          <w:highlight w:val="yellow"/>
        </w:rPr>
        <w:t>XXXXXX</w:t>
      </w:r>
      <w:r w:rsidRPr="00C02DC1">
        <w:rPr>
          <w:rFonts w:ascii="Arial" w:hAnsi="Arial" w:cs="Arial"/>
          <w:sz w:val="22"/>
          <w:szCs w:val="23"/>
        </w:rPr>
        <w:t xml:space="preserve"> PhD program.  </w:t>
      </w:r>
    </w:p>
    <w:p w:rsidR="0012544D" w:rsidRPr="00C02DC1" w:rsidRDefault="0012544D" w:rsidP="0012544D">
      <w:pPr>
        <w:spacing w:after="120"/>
        <w:rPr>
          <w:rFonts w:ascii="Arial" w:hAnsi="Arial" w:cs="Arial"/>
          <w:sz w:val="22"/>
          <w:szCs w:val="23"/>
        </w:rPr>
      </w:pPr>
      <w:r w:rsidRPr="00C02DC1">
        <w:rPr>
          <w:rFonts w:ascii="Arial" w:hAnsi="Arial" w:cs="Arial"/>
          <w:b/>
          <w:sz w:val="22"/>
          <w:szCs w:val="23"/>
        </w:rPr>
        <w:t>BBSP Admissions</w:t>
      </w:r>
      <w:r w:rsidRPr="00C02DC1">
        <w:rPr>
          <w:rFonts w:ascii="Arial" w:hAnsi="Arial" w:cs="Arial"/>
          <w:b/>
          <w:i/>
          <w:sz w:val="22"/>
          <w:szCs w:val="23"/>
        </w:rPr>
        <w:t>:</w:t>
      </w:r>
      <w:r w:rsidRPr="00C02DC1">
        <w:rPr>
          <w:rFonts w:ascii="Arial" w:hAnsi="Arial" w:cs="Arial"/>
          <w:sz w:val="22"/>
          <w:szCs w:val="23"/>
        </w:rPr>
        <w:t xml:space="preserve"> Evaluation of applicants and recruitment occurs through </w:t>
      </w:r>
      <w:r w:rsidR="00F970F5">
        <w:rPr>
          <w:rFonts w:ascii="Arial" w:hAnsi="Arial" w:cs="Arial"/>
          <w:sz w:val="22"/>
          <w:szCs w:val="23"/>
        </w:rPr>
        <w:t xml:space="preserve">multiple </w:t>
      </w:r>
      <w:r w:rsidRPr="00C02DC1">
        <w:rPr>
          <w:rFonts w:ascii="Arial" w:hAnsi="Arial" w:cs="Arial"/>
          <w:sz w:val="22"/>
          <w:szCs w:val="23"/>
        </w:rPr>
        <w:t>admissions committees composed of faculty from the 1</w:t>
      </w:r>
      <w:r w:rsidR="0068743F">
        <w:rPr>
          <w:rFonts w:ascii="Arial" w:hAnsi="Arial" w:cs="Arial"/>
          <w:sz w:val="22"/>
          <w:szCs w:val="23"/>
        </w:rPr>
        <w:t>4</w:t>
      </w:r>
      <w:r w:rsidRPr="00C02DC1">
        <w:rPr>
          <w:rFonts w:ascii="Arial" w:hAnsi="Arial" w:cs="Arial"/>
          <w:sz w:val="22"/>
          <w:szCs w:val="23"/>
        </w:rPr>
        <w:t xml:space="preserve"> PhD programs. The admissions committees are subdivided along broad scientific areas and applications are distributed to the appropriate committee based on information provided by the applicant. This information includes five research interest areas (selected from a list of 33) and a list of faculty members whose specific research is of interest</w:t>
      </w:r>
      <w:r>
        <w:rPr>
          <w:rFonts w:ascii="Arial" w:hAnsi="Arial" w:cs="Arial"/>
          <w:sz w:val="22"/>
          <w:szCs w:val="23"/>
        </w:rPr>
        <w:t xml:space="preserve"> to the applicant</w:t>
      </w:r>
      <w:r w:rsidRPr="00C02DC1">
        <w:rPr>
          <w:rFonts w:ascii="Arial" w:hAnsi="Arial" w:cs="Arial"/>
          <w:sz w:val="22"/>
          <w:szCs w:val="23"/>
        </w:rPr>
        <w:t xml:space="preserve">.  Of relevance to our training program, the interest areas include </w:t>
      </w:r>
      <w:r w:rsidR="00D77343" w:rsidRPr="00D77343">
        <w:rPr>
          <w:rFonts w:ascii="Arial" w:hAnsi="Arial" w:cs="Arial"/>
          <w:sz w:val="22"/>
          <w:szCs w:val="23"/>
          <w:highlight w:val="yellow"/>
        </w:rPr>
        <w:t>x, y and z</w:t>
      </w:r>
      <w:r w:rsidRPr="00C02DC1">
        <w:rPr>
          <w:rFonts w:ascii="Arial" w:hAnsi="Arial" w:cs="Arial"/>
          <w:sz w:val="22"/>
          <w:szCs w:val="23"/>
        </w:rPr>
        <w:t>.</w:t>
      </w:r>
      <w:r w:rsidRPr="00C02DC1">
        <w:rPr>
          <w:rFonts w:ascii="Arial" w:hAnsi="Arial" w:cs="Arial"/>
          <w:b/>
          <w:sz w:val="22"/>
          <w:szCs w:val="23"/>
        </w:rPr>
        <w:t xml:space="preserve">  </w:t>
      </w:r>
      <w:r w:rsidRPr="00C02DC1">
        <w:rPr>
          <w:rFonts w:ascii="Arial" w:hAnsi="Arial" w:cs="Arial"/>
          <w:sz w:val="22"/>
          <w:szCs w:val="23"/>
        </w:rPr>
        <w:t>The admissions committees evaluate the applications in depth, with at least two faculty assigned per application.  Interview and admission decisions are made by individual committees in coordination with the BBSP Director (</w:t>
      </w:r>
      <w:r w:rsidRPr="00C02DC1">
        <w:rPr>
          <w:rFonts w:ascii="Arial" w:hAnsi="Arial" w:cs="Arial"/>
          <w:b/>
          <w:sz w:val="22"/>
          <w:szCs w:val="23"/>
        </w:rPr>
        <w:t xml:space="preserve">Dr. </w:t>
      </w:r>
      <w:r w:rsidR="006B4560">
        <w:rPr>
          <w:rFonts w:ascii="Arial" w:hAnsi="Arial" w:cs="Arial"/>
          <w:b/>
          <w:sz w:val="22"/>
          <w:szCs w:val="23"/>
        </w:rPr>
        <w:t>Cook</w:t>
      </w:r>
      <w:r w:rsidRPr="00C02DC1">
        <w:rPr>
          <w:rFonts w:ascii="Arial" w:hAnsi="Arial" w:cs="Arial"/>
          <w:b/>
          <w:sz w:val="22"/>
          <w:szCs w:val="23"/>
        </w:rPr>
        <w:t>)</w:t>
      </w:r>
      <w:r w:rsidRPr="00C02DC1">
        <w:rPr>
          <w:rFonts w:ascii="Arial" w:hAnsi="Arial" w:cs="Arial"/>
          <w:sz w:val="22"/>
          <w:szCs w:val="23"/>
        </w:rPr>
        <w:t>, keeping in mind the desired target numb</w:t>
      </w:r>
      <w:r w:rsidR="00F970F5">
        <w:rPr>
          <w:rFonts w:ascii="Arial" w:hAnsi="Arial" w:cs="Arial"/>
          <w:sz w:val="22"/>
          <w:szCs w:val="23"/>
        </w:rPr>
        <w:t>er of matriculating students (~100</w:t>
      </w:r>
      <w:r w:rsidRPr="00C02DC1">
        <w:rPr>
          <w:rFonts w:ascii="Arial" w:hAnsi="Arial" w:cs="Arial"/>
          <w:sz w:val="22"/>
          <w:szCs w:val="23"/>
        </w:rPr>
        <w:t xml:space="preserve"> students for all 1</w:t>
      </w:r>
      <w:r>
        <w:rPr>
          <w:rFonts w:ascii="Arial" w:hAnsi="Arial" w:cs="Arial"/>
          <w:sz w:val="22"/>
          <w:szCs w:val="23"/>
        </w:rPr>
        <w:t xml:space="preserve">4 </w:t>
      </w:r>
      <w:r w:rsidRPr="00C02DC1">
        <w:rPr>
          <w:rFonts w:ascii="Arial" w:hAnsi="Arial" w:cs="Arial"/>
          <w:sz w:val="22"/>
          <w:szCs w:val="23"/>
        </w:rPr>
        <w:t xml:space="preserve">programs). Important to our efforts of recruiting outstanding students to our training program, many of our training mentors </w:t>
      </w:r>
      <w:r>
        <w:rPr>
          <w:rFonts w:ascii="Arial" w:hAnsi="Arial" w:cs="Arial"/>
          <w:sz w:val="22"/>
          <w:szCs w:val="23"/>
        </w:rPr>
        <w:t xml:space="preserve">regularly </w:t>
      </w:r>
      <w:r w:rsidRPr="00C02DC1">
        <w:rPr>
          <w:rFonts w:ascii="Arial" w:hAnsi="Arial" w:cs="Arial"/>
          <w:sz w:val="22"/>
          <w:szCs w:val="23"/>
        </w:rPr>
        <w:t xml:space="preserve">serve on </w:t>
      </w:r>
      <w:r>
        <w:rPr>
          <w:rFonts w:ascii="Arial" w:hAnsi="Arial" w:cs="Arial"/>
          <w:sz w:val="22"/>
          <w:szCs w:val="23"/>
        </w:rPr>
        <w:t xml:space="preserve">the </w:t>
      </w:r>
      <w:r w:rsidRPr="00C02DC1">
        <w:rPr>
          <w:rFonts w:ascii="Arial" w:hAnsi="Arial" w:cs="Arial"/>
          <w:sz w:val="22"/>
          <w:szCs w:val="23"/>
        </w:rPr>
        <w:t>admissions committees (</w:t>
      </w:r>
      <w:proofErr w:type="spellStart"/>
      <w:r w:rsidR="00D77343" w:rsidRPr="00D77343">
        <w:rPr>
          <w:rFonts w:ascii="Arial" w:hAnsi="Arial" w:cs="Arial"/>
          <w:b/>
          <w:sz w:val="22"/>
          <w:szCs w:val="23"/>
          <w:highlight w:val="yellow"/>
        </w:rPr>
        <w:t>xxxxxx</w:t>
      </w:r>
      <w:proofErr w:type="spellEnd"/>
      <w:r w:rsidRPr="00C02DC1">
        <w:rPr>
          <w:rFonts w:ascii="Arial" w:hAnsi="Arial" w:cs="Arial"/>
          <w:sz w:val="22"/>
          <w:szCs w:val="23"/>
        </w:rPr>
        <w:t xml:space="preserve">).  </w:t>
      </w:r>
    </w:p>
    <w:p w:rsidR="00322A89" w:rsidRDefault="00F970F5" w:rsidP="0012544D">
      <w:pPr>
        <w:spacing w:after="120"/>
        <w:rPr>
          <w:rFonts w:ascii="Arial" w:hAnsi="Arial" w:cs="Arial"/>
          <w:sz w:val="22"/>
          <w:szCs w:val="23"/>
        </w:rPr>
      </w:pPr>
      <w:r>
        <w:rPr>
          <w:rFonts w:ascii="Arial" w:hAnsi="Arial" w:cs="Arial"/>
          <w:b/>
          <w:sz w:val="22"/>
          <w:szCs w:val="23"/>
        </w:rPr>
        <w:t>BBSP R</w:t>
      </w:r>
      <w:r w:rsidR="0012544D" w:rsidRPr="00C02DC1">
        <w:rPr>
          <w:rFonts w:ascii="Arial" w:hAnsi="Arial" w:cs="Arial"/>
          <w:b/>
          <w:sz w:val="22"/>
          <w:szCs w:val="23"/>
        </w:rPr>
        <w:t>ecruitment:</w:t>
      </w:r>
      <w:r w:rsidR="0012544D" w:rsidRPr="00C02DC1">
        <w:rPr>
          <w:rFonts w:ascii="Arial" w:hAnsi="Arial" w:cs="Arial"/>
          <w:sz w:val="22"/>
          <w:szCs w:val="23"/>
        </w:rPr>
        <w:t xml:space="preserve"> Students are invited to one of </w:t>
      </w:r>
      <w:r>
        <w:rPr>
          <w:rFonts w:ascii="Arial" w:hAnsi="Arial" w:cs="Arial"/>
          <w:sz w:val="22"/>
          <w:szCs w:val="23"/>
        </w:rPr>
        <w:t>four</w:t>
      </w:r>
      <w:r w:rsidR="0012544D" w:rsidRPr="00C02DC1">
        <w:rPr>
          <w:rFonts w:ascii="Arial" w:hAnsi="Arial" w:cs="Arial"/>
          <w:sz w:val="22"/>
          <w:szCs w:val="23"/>
        </w:rPr>
        <w:t xml:space="preserve"> recruitment weekends (January-</w:t>
      </w:r>
      <w:r>
        <w:rPr>
          <w:rFonts w:ascii="Arial" w:hAnsi="Arial" w:cs="Arial"/>
          <w:sz w:val="22"/>
          <w:szCs w:val="23"/>
        </w:rPr>
        <w:t>February</w:t>
      </w:r>
      <w:r w:rsidR="0012544D" w:rsidRPr="00C02DC1">
        <w:rPr>
          <w:rFonts w:ascii="Arial" w:hAnsi="Arial" w:cs="Arial"/>
          <w:sz w:val="22"/>
          <w:szCs w:val="23"/>
        </w:rPr>
        <w:t xml:space="preserve">).  During these visits, applicants interview with five faculty members, primarily of their own choosing, and </w:t>
      </w:r>
      <w:r w:rsidR="0012544D">
        <w:rPr>
          <w:rFonts w:ascii="Arial" w:hAnsi="Arial" w:cs="Arial"/>
          <w:sz w:val="22"/>
          <w:szCs w:val="23"/>
        </w:rPr>
        <w:t xml:space="preserve">they </w:t>
      </w:r>
      <w:r w:rsidR="0012544D" w:rsidRPr="00C02DC1">
        <w:rPr>
          <w:rFonts w:ascii="Arial" w:hAnsi="Arial" w:cs="Arial"/>
          <w:sz w:val="22"/>
          <w:szCs w:val="23"/>
        </w:rPr>
        <w:t>interact with current students and faculty in social settings.  These weekends are organized around research areas (</w:t>
      </w:r>
      <w:r w:rsidR="0012544D" w:rsidRPr="00D77343">
        <w:rPr>
          <w:rFonts w:ascii="Arial" w:hAnsi="Arial" w:cs="Arial"/>
          <w:sz w:val="22"/>
          <w:szCs w:val="23"/>
          <w:highlight w:val="yellow"/>
        </w:rPr>
        <w:t xml:space="preserve">e.g. </w:t>
      </w:r>
      <w:r w:rsidR="00D77343" w:rsidRPr="00D77343">
        <w:rPr>
          <w:rFonts w:ascii="Arial" w:hAnsi="Arial" w:cs="Arial"/>
          <w:sz w:val="22"/>
          <w:szCs w:val="23"/>
          <w:highlight w:val="yellow"/>
        </w:rPr>
        <w:t>XXX</w:t>
      </w:r>
      <w:r w:rsidR="0012544D" w:rsidRPr="00C02DC1">
        <w:rPr>
          <w:rFonts w:ascii="Arial" w:hAnsi="Arial" w:cs="Arial"/>
          <w:sz w:val="22"/>
          <w:szCs w:val="23"/>
        </w:rPr>
        <w:t xml:space="preserve">), thus allowing faculty to focus their recruitment efforts. Nevertheless, a student can visit UNC during any weekend and be assured to meet individually with faculty representing their research interest. Students admitted through any admissions committee or recruitment weekend may ultimately join the </w:t>
      </w:r>
      <w:r w:rsidR="0012544D" w:rsidRPr="00C02DC1">
        <w:rPr>
          <w:rFonts w:ascii="Arial" w:hAnsi="Arial" w:cs="Arial"/>
          <w:b/>
          <w:sz w:val="22"/>
          <w:szCs w:val="23"/>
        </w:rPr>
        <w:t>“</w:t>
      </w:r>
      <w:r w:rsidR="00D77343" w:rsidRPr="00D77343">
        <w:rPr>
          <w:rFonts w:ascii="Arial" w:hAnsi="Arial" w:cs="Arial"/>
          <w:b/>
          <w:sz w:val="22"/>
          <w:szCs w:val="23"/>
          <w:highlight w:val="yellow"/>
        </w:rPr>
        <w:t>XXXXX</w:t>
      </w:r>
      <w:r w:rsidR="0012544D" w:rsidRPr="00C02DC1">
        <w:rPr>
          <w:rFonts w:ascii="Arial" w:hAnsi="Arial" w:cs="Arial"/>
          <w:b/>
          <w:sz w:val="22"/>
          <w:szCs w:val="23"/>
        </w:rPr>
        <w:t>”</w:t>
      </w:r>
      <w:r w:rsidR="0012544D" w:rsidRPr="00C02DC1">
        <w:rPr>
          <w:rFonts w:ascii="Arial" w:hAnsi="Arial" w:cs="Arial"/>
          <w:sz w:val="22"/>
          <w:szCs w:val="23"/>
        </w:rPr>
        <w:t>, but we anticipate that the majority of our students will come through during the “</w:t>
      </w:r>
      <w:r w:rsidR="00322A89" w:rsidRPr="00322A89">
        <w:rPr>
          <w:rFonts w:ascii="Arial" w:hAnsi="Arial" w:cs="Arial"/>
          <w:sz w:val="22"/>
          <w:szCs w:val="23"/>
          <w:highlight w:val="yellow"/>
        </w:rPr>
        <w:t>XXX</w:t>
      </w:r>
      <w:r w:rsidR="0012544D" w:rsidRPr="00C02DC1">
        <w:rPr>
          <w:rFonts w:ascii="Arial" w:hAnsi="Arial" w:cs="Arial"/>
          <w:sz w:val="22"/>
          <w:szCs w:val="23"/>
        </w:rPr>
        <w:t xml:space="preserve">” weekends.  </w:t>
      </w:r>
      <w:r w:rsidR="0012544D">
        <w:rPr>
          <w:rFonts w:ascii="Arial" w:hAnsi="Arial" w:cs="Arial"/>
          <w:b/>
          <w:sz w:val="22"/>
          <w:szCs w:val="23"/>
        </w:rPr>
        <w:t xml:space="preserve">The </w:t>
      </w:r>
      <w:r w:rsidR="0012544D" w:rsidRPr="00C02DC1">
        <w:rPr>
          <w:rFonts w:ascii="Arial" w:hAnsi="Arial" w:cs="Arial"/>
          <w:b/>
          <w:sz w:val="22"/>
          <w:szCs w:val="23"/>
        </w:rPr>
        <w:t>move t</w:t>
      </w:r>
      <w:r w:rsidR="0012544D">
        <w:rPr>
          <w:rFonts w:ascii="Arial" w:hAnsi="Arial" w:cs="Arial"/>
          <w:b/>
          <w:sz w:val="22"/>
          <w:szCs w:val="23"/>
        </w:rPr>
        <w:t>o the BBSP admissions</w:t>
      </w:r>
      <w:r w:rsidR="0012544D" w:rsidRPr="00C02DC1">
        <w:rPr>
          <w:rFonts w:ascii="Arial" w:hAnsi="Arial" w:cs="Arial"/>
          <w:b/>
          <w:sz w:val="22"/>
          <w:szCs w:val="23"/>
        </w:rPr>
        <w:t xml:space="preserve"> format has been extremely positive</w:t>
      </w:r>
      <w:r>
        <w:rPr>
          <w:rFonts w:ascii="Arial" w:hAnsi="Arial" w:cs="Arial"/>
          <w:b/>
          <w:sz w:val="22"/>
          <w:szCs w:val="23"/>
        </w:rPr>
        <w:t>.</w:t>
      </w:r>
      <w:r w:rsidR="0012544D">
        <w:rPr>
          <w:rFonts w:ascii="Arial" w:hAnsi="Arial" w:cs="Arial"/>
          <w:b/>
          <w:sz w:val="22"/>
          <w:szCs w:val="23"/>
        </w:rPr>
        <w:t xml:space="preserve"> A</w:t>
      </w:r>
      <w:r w:rsidR="0012544D" w:rsidRPr="00C02DC1">
        <w:rPr>
          <w:rFonts w:ascii="Arial" w:hAnsi="Arial" w:cs="Arial"/>
          <w:b/>
          <w:sz w:val="22"/>
          <w:szCs w:val="23"/>
        </w:rPr>
        <w:t xml:space="preserve">pplication number increased </w:t>
      </w:r>
      <w:r w:rsidR="0012544D">
        <w:rPr>
          <w:rFonts w:ascii="Arial" w:hAnsi="Arial" w:cs="Arial"/>
          <w:b/>
          <w:sz w:val="22"/>
          <w:szCs w:val="23"/>
        </w:rPr>
        <w:t xml:space="preserve">(850 in 2007/pre-BBSP and average &gt;1000 post-BBSP) </w:t>
      </w:r>
      <w:r w:rsidR="0012544D" w:rsidRPr="00C02DC1">
        <w:rPr>
          <w:rFonts w:ascii="Arial" w:hAnsi="Arial" w:cs="Arial"/>
          <w:b/>
          <w:sz w:val="22"/>
          <w:szCs w:val="23"/>
        </w:rPr>
        <w:t xml:space="preserve">and </w:t>
      </w:r>
      <w:r w:rsidR="0012544D">
        <w:rPr>
          <w:rFonts w:ascii="Arial" w:hAnsi="Arial" w:cs="Arial"/>
          <w:b/>
          <w:sz w:val="22"/>
          <w:szCs w:val="23"/>
        </w:rPr>
        <w:t>long-time admissions committee members agree that applicant qualit</w:t>
      </w:r>
      <w:r>
        <w:rPr>
          <w:rFonts w:ascii="Arial" w:hAnsi="Arial" w:cs="Arial"/>
          <w:b/>
          <w:sz w:val="22"/>
          <w:szCs w:val="23"/>
        </w:rPr>
        <w:t xml:space="preserve">y is better: higher GPA scores and </w:t>
      </w:r>
      <w:r w:rsidR="0012544D">
        <w:rPr>
          <w:rFonts w:ascii="Arial" w:hAnsi="Arial" w:cs="Arial"/>
          <w:b/>
          <w:sz w:val="22"/>
          <w:szCs w:val="23"/>
        </w:rPr>
        <w:t xml:space="preserve">stronger research experiences and letters of recommendation.  </w:t>
      </w:r>
      <w:r w:rsidR="0012544D">
        <w:rPr>
          <w:rFonts w:ascii="Arial" w:hAnsi="Arial" w:cs="Arial"/>
          <w:sz w:val="22"/>
          <w:szCs w:val="23"/>
        </w:rPr>
        <w:t xml:space="preserve">Students from the first BBSP classes are enthusiastic about the program, as seen by their active participation in the recruitment weekends.  </w:t>
      </w:r>
      <w:r w:rsidR="0012544D" w:rsidRPr="00C02DC1">
        <w:rPr>
          <w:rFonts w:ascii="Arial" w:hAnsi="Arial" w:cs="Arial"/>
          <w:sz w:val="22"/>
          <w:szCs w:val="23"/>
        </w:rPr>
        <w:t xml:space="preserve"> </w:t>
      </w:r>
    </w:p>
    <w:p w:rsidR="0012544D" w:rsidRPr="00C02DC1" w:rsidRDefault="00322A89" w:rsidP="0012544D">
      <w:pPr>
        <w:spacing w:after="120"/>
        <w:rPr>
          <w:rFonts w:ascii="Arial" w:hAnsi="Arial" w:cs="Arial"/>
          <w:sz w:val="22"/>
          <w:szCs w:val="23"/>
        </w:rPr>
      </w:pPr>
      <w:r>
        <w:rPr>
          <w:rFonts w:ascii="Arial" w:hAnsi="Arial" w:cs="Arial"/>
          <w:sz w:val="22"/>
          <w:szCs w:val="23"/>
        </w:rPr>
        <w:br w:type="page"/>
      </w:r>
      <w:r w:rsidR="0012544D" w:rsidRPr="00C02DC1">
        <w:rPr>
          <w:rFonts w:ascii="Arial" w:hAnsi="Arial" w:cs="Arial"/>
          <w:sz w:val="22"/>
          <w:szCs w:val="23"/>
        </w:rPr>
        <w:lastRenderedPageBreak/>
        <w:t xml:space="preserve">  </w:t>
      </w:r>
    </w:p>
    <w:p w:rsidR="0012544D" w:rsidRPr="00C02DC1" w:rsidRDefault="00B3750F" w:rsidP="0012544D">
      <w:pPr>
        <w:tabs>
          <w:tab w:val="left" w:pos="1307"/>
        </w:tabs>
        <w:jc w:val="both"/>
        <w:rPr>
          <w:rFonts w:ascii="Arial" w:hAnsi="Arial" w:cs="Arial"/>
          <w:b/>
          <w:sz w:val="22"/>
          <w:szCs w:val="23"/>
        </w:rPr>
      </w:pPr>
      <w:r>
        <w:rPr>
          <w:rFonts w:ascii="Arial" w:hAnsi="Arial" w:cs="Arial"/>
          <w:b/>
          <w:sz w:val="22"/>
          <w:szCs w:val="23"/>
        </w:rPr>
        <w:t xml:space="preserve">Applicant Statistics Summary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1827"/>
        <w:gridCol w:w="1450"/>
        <w:gridCol w:w="2227"/>
        <w:gridCol w:w="2061"/>
      </w:tblGrid>
      <w:tr w:rsidR="00EB47E9" w:rsidRPr="00B11612" w:rsidTr="0068743F">
        <w:tc>
          <w:tcPr>
            <w:tcW w:w="1856" w:type="dxa"/>
            <w:shd w:val="clear" w:color="auto" w:fill="D9D9D9"/>
            <w:vAlign w:val="bottom"/>
          </w:tcPr>
          <w:p w:rsidR="00EB47E9" w:rsidRPr="00B11612" w:rsidRDefault="00EB47E9" w:rsidP="00BF7220">
            <w:pPr>
              <w:rPr>
                <w:rFonts w:ascii="Arial" w:hAnsi="Arial" w:cs="Arial"/>
                <w:b/>
              </w:rPr>
            </w:pPr>
          </w:p>
        </w:tc>
        <w:tc>
          <w:tcPr>
            <w:tcW w:w="1853" w:type="dxa"/>
            <w:shd w:val="clear" w:color="auto" w:fill="D9D9D9"/>
            <w:vAlign w:val="bottom"/>
          </w:tcPr>
          <w:p w:rsidR="00EB47E9" w:rsidRPr="00B11612" w:rsidRDefault="00EB47E9" w:rsidP="00BF7220">
            <w:pPr>
              <w:rPr>
                <w:rFonts w:ascii="Arial" w:hAnsi="Arial" w:cs="Arial"/>
                <w:b/>
              </w:rPr>
            </w:pPr>
            <w:r w:rsidRPr="00B11612">
              <w:rPr>
                <w:rFonts w:ascii="Arial" w:hAnsi="Arial" w:cs="Arial"/>
                <w:b/>
              </w:rPr>
              <w:t>Total Applicants</w:t>
            </w:r>
          </w:p>
        </w:tc>
        <w:tc>
          <w:tcPr>
            <w:tcW w:w="1486" w:type="dxa"/>
            <w:shd w:val="clear" w:color="auto" w:fill="D9D9D9"/>
            <w:vAlign w:val="bottom"/>
          </w:tcPr>
          <w:p w:rsidR="00EB47E9" w:rsidRPr="00B11612" w:rsidRDefault="00EB47E9" w:rsidP="00BF7220">
            <w:pPr>
              <w:rPr>
                <w:rFonts w:ascii="Arial" w:hAnsi="Arial" w:cs="Arial"/>
                <w:b/>
              </w:rPr>
            </w:pPr>
            <w:r w:rsidRPr="00B11612">
              <w:rPr>
                <w:rFonts w:ascii="Arial" w:hAnsi="Arial" w:cs="Arial"/>
                <w:b/>
              </w:rPr>
              <w:t>Offers Made</w:t>
            </w:r>
          </w:p>
        </w:tc>
        <w:tc>
          <w:tcPr>
            <w:tcW w:w="2286" w:type="dxa"/>
            <w:shd w:val="clear" w:color="auto" w:fill="D9D9D9"/>
            <w:vAlign w:val="bottom"/>
          </w:tcPr>
          <w:p w:rsidR="00EB47E9" w:rsidRPr="00B11612" w:rsidRDefault="00EB47E9" w:rsidP="00BF7220">
            <w:pPr>
              <w:rPr>
                <w:rFonts w:ascii="Arial" w:hAnsi="Arial" w:cs="Arial"/>
                <w:b/>
              </w:rPr>
            </w:pPr>
            <w:r w:rsidRPr="00B11612">
              <w:rPr>
                <w:rFonts w:ascii="Arial" w:hAnsi="Arial" w:cs="Arial"/>
                <w:b/>
              </w:rPr>
              <w:t xml:space="preserve">Total # of </w:t>
            </w:r>
            <w:r>
              <w:rPr>
                <w:rFonts w:ascii="Arial" w:hAnsi="Arial" w:cs="Arial"/>
                <w:b/>
              </w:rPr>
              <w:t>students accepting our offer (# incoming)</w:t>
            </w:r>
          </w:p>
        </w:tc>
        <w:tc>
          <w:tcPr>
            <w:tcW w:w="2095" w:type="dxa"/>
            <w:shd w:val="clear" w:color="auto" w:fill="D9D9D9"/>
            <w:vAlign w:val="bottom"/>
          </w:tcPr>
          <w:p w:rsidR="00EB47E9" w:rsidRPr="00B11612" w:rsidRDefault="00EB47E9" w:rsidP="00BF7220">
            <w:pPr>
              <w:rPr>
                <w:rFonts w:ascii="Arial" w:hAnsi="Arial" w:cs="Arial"/>
                <w:b/>
              </w:rPr>
            </w:pPr>
            <w:r w:rsidRPr="00B11612">
              <w:rPr>
                <w:rFonts w:ascii="Arial" w:hAnsi="Arial" w:cs="Arial"/>
                <w:b/>
              </w:rPr>
              <w:t>Acceptance Rate</w:t>
            </w:r>
          </w:p>
        </w:tc>
      </w:tr>
      <w:tr w:rsidR="00F970F5" w:rsidRPr="00B11612" w:rsidTr="0068743F">
        <w:trPr>
          <w:trHeight w:hRule="exact" w:val="360"/>
        </w:trPr>
        <w:tc>
          <w:tcPr>
            <w:tcW w:w="1856" w:type="dxa"/>
            <w:shd w:val="clear" w:color="auto" w:fill="D9D9D9"/>
            <w:vAlign w:val="bottom"/>
          </w:tcPr>
          <w:p w:rsidR="00F970F5" w:rsidRDefault="00F970F5" w:rsidP="00BF7220">
            <w:pPr>
              <w:rPr>
                <w:rFonts w:ascii="Arial" w:hAnsi="Arial" w:cs="Arial"/>
              </w:rPr>
            </w:pPr>
            <w:r>
              <w:rPr>
                <w:rFonts w:ascii="Arial" w:hAnsi="Arial" w:cs="Arial"/>
              </w:rPr>
              <w:t>2020</w:t>
            </w:r>
          </w:p>
        </w:tc>
        <w:tc>
          <w:tcPr>
            <w:tcW w:w="1853" w:type="dxa"/>
            <w:vAlign w:val="bottom"/>
          </w:tcPr>
          <w:p w:rsidR="00F970F5" w:rsidRDefault="00AE7B4F" w:rsidP="00BF7220">
            <w:pPr>
              <w:rPr>
                <w:rFonts w:ascii="Arial" w:hAnsi="Arial" w:cs="Arial"/>
              </w:rPr>
            </w:pPr>
            <w:r>
              <w:rPr>
                <w:rFonts w:ascii="Arial" w:hAnsi="Arial" w:cs="Arial"/>
              </w:rPr>
              <w:t>1804</w:t>
            </w:r>
          </w:p>
        </w:tc>
        <w:tc>
          <w:tcPr>
            <w:tcW w:w="1486" w:type="dxa"/>
            <w:vAlign w:val="bottom"/>
          </w:tcPr>
          <w:p w:rsidR="00F970F5" w:rsidRDefault="00AE7B4F" w:rsidP="00BF7220">
            <w:pPr>
              <w:rPr>
                <w:rFonts w:ascii="Arial" w:hAnsi="Arial" w:cs="Arial"/>
              </w:rPr>
            </w:pPr>
            <w:r>
              <w:rPr>
                <w:rFonts w:ascii="Arial" w:hAnsi="Arial" w:cs="Arial"/>
              </w:rPr>
              <w:t>293</w:t>
            </w:r>
          </w:p>
        </w:tc>
        <w:tc>
          <w:tcPr>
            <w:tcW w:w="2286" w:type="dxa"/>
            <w:vAlign w:val="bottom"/>
          </w:tcPr>
          <w:p w:rsidR="00F970F5" w:rsidRDefault="00AE7B4F" w:rsidP="00BF7220">
            <w:pPr>
              <w:rPr>
                <w:rFonts w:ascii="Arial" w:hAnsi="Arial" w:cs="Arial"/>
              </w:rPr>
            </w:pPr>
            <w:r>
              <w:rPr>
                <w:rFonts w:ascii="Arial" w:hAnsi="Arial" w:cs="Arial"/>
              </w:rPr>
              <w:t>117 (117)</w:t>
            </w:r>
          </w:p>
        </w:tc>
        <w:tc>
          <w:tcPr>
            <w:tcW w:w="2095" w:type="dxa"/>
            <w:vAlign w:val="bottom"/>
          </w:tcPr>
          <w:p w:rsidR="00F970F5" w:rsidRDefault="00AE7B4F" w:rsidP="00BF7220">
            <w:pPr>
              <w:rPr>
                <w:rFonts w:ascii="Arial" w:hAnsi="Arial" w:cs="Arial"/>
              </w:rPr>
            </w:pPr>
            <w:r>
              <w:rPr>
                <w:rFonts w:ascii="Arial" w:hAnsi="Arial" w:cs="Arial"/>
              </w:rPr>
              <w:t>42%</w:t>
            </w:r>
          </w:p>
        </w:tc>
      </w:tr>
      <w:tr w:rsidR="00F970F5" w:rsidRPr="00B11612" w:rsidTr="0068743F">
        <w:trPr>
          <w:trHeight w:hRule="exact" w:val="360"/>
        </w:trPr>
        <w:tc>
          <w:tcPr>
            <w:tcW w:w="1856" w:type="dxa"/>
            <w:shd w:val="clear" w:color="auto" w:fill="D9D9D9"/>
            <w:vAlign w:val="bottom"/>
          </w:tcPr>
          <w:p w:rsidR="00F970F5" w:rsidRDefault="00F970F5" w:rsidP="00BF7220">
            <w:pPr>
              <w:rPr>
                <w:rFonts w:ascii="Arial" w:hAnsi="Arial" w:cs="Arial"/>
              </w:rPr>
            </w:pPr>
            <w:r>
              <w:rPr>
                <w:rFonts w:ascii="Arial" w:hAnsi="Arial" w:cs="Arial"/>
              </w:rPr>
              <w:t>2019</w:t>
            </w:r>
          </w:p>
        </w:tc>
        <w:tc>
          <w:tcPr>
            <w:tcW w:w="1853" w:type="dxa"/>
            <w:vAlign w:val="bottom"/>
          </w:tcPr>
          <w:p w:rsidR="00F970F5" w:rsidRDefault="00AE7B4F" w:rsidP="00BF7220">
            <w:pPr>
              <w:rPr>
                <w:rFonts w:ascii="Arial" w:hAnsi="Arial" w:cs="Arial"/>
              </w:rPr>
            </w:pPr>
            <w:r>
              <w:rPr>
                <w:rFonts w:ascii="Arial" w:hAnsi="Arial" w:cs="Arial"/>
              </w:rPr>
              <w:t>1711</w:t>
            </w:r>
          </w:p>
        </w:tc>
        <w:tc>
          <w:tcPr>
            <w:tcW w:w="1486" w:type="dxa"/>
            <w:vAlign w:val="bottom"/>
          </w:tcPr>
          <w:p w:rsidR="00F970F5" w:rsidRDefault="00AE7B4F" w:rsidP="00BF7220">
            <w:pPr>
              <w:rPr>
                <w:rFonts w:ascii="Arial" w:hAnsi="Arial" w:cs="Arial"/>
              </w:rPr>
            </w:pPr>
            <w:r>
              <w:rPr>
                <w:rFonts w:ascii="Arial" w:hAnsi="Arial" w:cs="Arial"/>
              </w:rPr>
              <w:t>274</w:t>
            </w:r>
          </w:p>
        </w:tc>
        <w:tc>
          <w:tcPr>
            <w:tcW w:w="2286" w:type="dxa"/>
            <w:vAlign w:val="bottom"/>
          </w:tcPr>
          <w:p w:rsidR="00F970F5" w:rsidRDefault="00AE7B4F" w:rsidP="00BF7220">
            <w:pPr>
              <w:rPr>
                <w:rFonts w:ascii="Arial" w:hAnsi="Arial" w:cs="Arial"/>
              </w:rPr>
            </w:pPr>
            <w:r>
              <w:rPr>
                <w:rFonts w:ascii="Arial" w:hAnsi="Arial" w:cs="Arial"/>
              </w:rPr>
              <w:t>95 (95)</w:t>
            </w:r>
          </w:p>
        </w:tc>
        <w:tc>
          <w:tcPr>
            <w:tcW w:w="2095" w:type="dxa"/>
            <w:vAlign w:val="bottom"/>
          </w:tcPr>
          <w:p w:rsidR="00F970F5" w:rsidRDefault="00AE7B4F" w:rsidP="00BF7220">
            <w:pPr>
              <w:rPr>
                <w:rFonts w:ascii="Arial" w:hAnsi="Arial" w:cs="Arial"/>
              </w:rPr>
            </w:pPr>
            <w:r>
              <w:rPr>
                <w:rFonts w:ascii="Arial" w:hAnsi="Arial" w:cs="Arial"/>
              </w:rPr>
              <w:t>35%</w:t>
            </w:r>
            <w:bookmarkStart w:id="0" w:name="_GoBack"/>
            <w:bookmarkEnd w:id="0"/>
          </w:p>
        </w:tc>
      </w:tr>
      <w:tr w:rsidR="0068743F" w:rsidRPr="00B11612" w:rsidTr="0068743F">
        <w:trPr>
          <w:trHeight w:hRule="exact" w:val="360"/>
        </w:trPr>
        <w:tc>
          <w:tcPr>
            <w:tcW w:w="1856" w:type="dxa"/>
            <w:shd w:val="clear" w:color="auto" w:fill="D9D9D9"/>
            <w:vAlign w:val="bottom"/>
          </w:tcPr>
          <w:p w:rsidR="0068743F" w:rsidRDefault="0068743F" w:rsidP="00BF7220">
            <w:pPr>
              <w:rPr>
                <w:rFonts w:ascii="Arial" w:hAnsi="Arial" w:cs="Arial"/>
              </w:rPr>
            </w:pPr>
            <w:r>
              <w:rPr>
                <w:rFonts w:ascii="Arial" w:hAnsi="Arial" w:cs="Arial"/>
              </w:rPr>
              <w:t>2018</w:t>
            </w:r>
          </w:p>
        </w:tc>
        <w:tc>
          <w:tcPr>
            <w:tcW w:w="1853" w:type="dxa"/>
            <w:vAlign w:val="bottom"/>
          </w:tcPr>
          <w:p w:rsidR="0068743F" w:rsidRDefault="0068743F" w:rsidP="00BF7220">
            <w:pPr>
              <w:rPr>
                <w:rFonts w:ascii="Arial" w:hAnsi="Arial" w:cs="Arial"/>
              </w:rPr>
            </w:pPr>
            <w:r>
              <w:rPr>
                <w:rFonts w:ascii="Arial" w:hAnsi="Arial" w:cs="Arial"/>
              </w:rPr>
              <w:t>1368</w:t>
            </w:r>
          </w:p>
        </w:tc>
        <w:tc>
          <w:tcPr>
            <w:tcW w:w="1486" w:type="dxa"/>
            <w:vAlign w:val="bottom"/>
          </w:tcPr>
          <w:p w:rsidR="0068743F" w:rsidRDefault="0068743F" w:rsidP="00BF7220">
            <w:pPr>
              <w:rPr>
                <w:rFonts w:ascii="Arial" w:hAnsi="Arial" w:cs="Arial"/>
              </w:rPr>
            </w:pPr>
            <w:r>
              <w:rPr>
                <w:rFonts w:ascii="Arial" w:hAnsi="Arial" w:cs="Arial"/>
              </w:rPr>
              <w:t>232</w:t>
            </w:r>
          </w:p>
        </w:tc>
        <w:tc>
          <w:tcPr>
            <w:tcW w:w="2286" w:type="dxa"/>
            <w:vAlign w:val="bottom"/>
          </w:tcPr>
          <w:p w:rsidR="0068743F" w:rsidRDefault="0068743F" w:rsidP="00BF7220">
            <w:pPr>
              <w:rPr>
                <w:rFonts w:ascii="Arial" w:hAnsi="Arial" w:cs="Arial"/>
              </w:rPr>
            </w:pPr>
            <w:r>
              <w:rPr>
                <w:rFonts w:ascii="Arial" w:hAnsi="Arial" w:cs="Arial"/>
              </w:rPr>
              <w:t>78 (78)</w:t>
            </w:r>
          </w:p>
        </w:tc>
        <w:tc>
          <w:tcPr>
            <w:tcW w:w="2095" w:type="dxa"/>
            <w:vAlign w:val="bottom"/>
          </w:tcPr>
          <w:p w:rsidR="0068743F" w:rsidRDefault="0068743F" w:rsidP="00BF7220">
            <w:pPr>
              <w:rPr>
                <w:rFonts w:ascii="Arial" w:hAnsi="Arial" w:cs="Arial"/>
              </w:rPr>
            </w:pPr>
            <w:r>
              <w:rPr>
                <w:rFonts w:ascii="Arial" w:hAnsi="Arial" w:cs="Arial"/>
              </w:rPr>
              <w:t>34%</w:t>
            </w:r>
          </w:p>
        </w:tc>
      </w:tr>
      <w:tr w:rsidR="0068743F" w:rsidRPr="00B11612" w:rsidTr="004A2118">
        <w:trPr>
          <w:trHeight w:hRule="exact" w:val="360"/>
        </w:trPr>
        <w:tc>
          <w:tcPr>
            <w:tcW w:w="1856" w:type="dxa"/>
            <w:shd w:val="clear" w:color="auto" w:fill="D9D9D9"/>
            <w:vAlign w:val="bottom"/>
          </w:tcPr>
          <w:p w:rsidR="0068743F" w:rsidRDefault="0068743F" w:rsidP="0068743F">
            <w:pPr>
              <w:rPr>
                <w:rFonts w:ascii="Arial" w:hAnsi="Arial" w:cs="Arial"/>
              </w:rPr>
            </w:pPr>
            <w:r>
              <w:rPr>
                <w:rFonts w:ascii="Arial" w:hAnsi="Arial" w:cs="Arial"/>
              </w:rPr>
              <w:t>2017</w:t>
            </w:r>
          </w:p>
        </w:tc>
        <w:tc>
          <w:tcPr>
            <w:tcW w:w="185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8743F" w:rsidRDefault="0068743F" w:rsidP="0068743F">
            <w:pPr>
              <w:rPr>
                <w:rFonts w:ascii="Arial" w:hAnsi="Arial" w:cs="Arial"/>
              </w:rPr>
            </w:pPr>
            <w:r>
              <w:rPr>
                <w:rFonts w:ascii="Arial" w:hAnsi="Arial" w:cs="Arial"/>
              </w:rPr>
              <w:t>1275</w:t>
            </w:r>
          </w:p>
        </w:tc>
        <w:tc>
          <w:tcPr>
            <w:tcW w:w="148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8743F" w:rsidRDefault="0068743F" w:rsidP="0068743F">
            <w:pPr>
              <w:rPr>
                <w:rFonts w:ascii="Arial" w:hAnsi="Arial" w:cs="Arial"/>
              </w:rPr>
            </w:pPr>
            <w:r>
              <w:rPr>
                <w:rFonts w:ascii="Arial" w:hAnsi="Arial" w:cs="Arial"/>
              </w:rPr>
              <w:t>220</w:t>
            </w:r>
          </w:p>
        </w:tc>
        <w:tc>
          <w:tcPr>
            <w:tcW w:w="228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8743F" w:rsidRDefault="0068743F" w:rsidP="0068743F">
            <w:pPr>
              <w:rPr>
                <w:rFonts w:ascii="Arial" w:hAnsi="Arial" w:cs="Arial"/>
              </w:rPr>
            </w:pPr>
            <w:r>
              <w:rPr>
                <w:rFonts w:ascii="Arial" w:hAnsi="Arial" w:cs="Arial"/>
              </w:rPr>
              <w:t>91 (93)</w:t>
            </w:r>
          </w:p>
        </w:tc>
        <w:tc>
          <w:tcPr>
            <w:tcW w:w="20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8743F" w:rsidRDefault="0068743F" w:rsidP="0068743F">
            <w:pPr>
              <w:rPr>
                <w:rFonts w:ascii="Arial" w:hAnsi="Arial" w:cs="Arial"/>
              </w:rPr>
            </w:pPr>
            <w:r>
              <w:rPr>
                <w:rFonts w:ascii="Arial" w:hAnsi="Arial" w:cs="Arial"/>
              </w:rPr>
              <w:t>41%</w:t>
            </w:r>
          </w:p>
        </w:tc>
      </w:tr>
      <w:tr w:rsidR="0068743F" w:rsidRPr="00B11612" w:rsidTr="004A2118">
        <w:trPr>
          <w:trHeight w:hRule="exact" w:val="360"/>
        </w:trPr>
        <w:tc>
          <w:tcPr>
            <w:tcW w:w="1856" w:type="dxa"/>
            <w:shd w:val="clear" w:color="auto" w:fill="D9D9D9"/>
            <w:vAlign w:val="bottom"/>
          </w:tcPr>
          <w:p w:rsidR="0068743F" w:rsidRDefault="0068743F" w:rsidP="0068743F">
            <w:pPr>
              <w:rPr>
                <w:rFonts w:ascii="Arial" w:hAnsi="Arial" w:cs="Arial"/>
              </w:rPr>
            </w:pPr>
            <w:r>
              <w:rPr>
                <w:rFonts w:ascii="Arial" w:hAnsi="Arial" w:cs="Arial"/>
              </w:rPr>
              <w:t>2016</w:t>
            </w:r>
          </w:p>
        </w:tc>
        <w:tc>
          <w:tcPr>
            <w:tcW w:w="1853" w:type="dxa"/>
            <w:tcBorders>
              <w:top w:val="single" w:sz="4" w:space="0" w:color="000000"/>
              <w:left w:val="single" w:sz="4" w:space="0" w:color="000000"/>
              <w:bottom w:val="single" w:sz="4" w:space="0" w:color="000000"/>
              <w:right w:val="single" w:sz="4" w:space="0" w:color="000000"/>
            </w:tcBorders>
            <w:vAlign w:val="bottom"/>
          </w:tcPr>
          <w:p w:rsidR="0068743F" w:rsidRDefault="0068743F" w:rsidP="0068743F">
            <w:pPr>
              <w:rPr>
                <w:rFonts w:ascii="Arial" w:hAnsi="Arial" w:cs="Arial"/>
              </w:rPr>
            </w:pPr>
            <w:r>
              <w:rPr>
                <w:rFonts w:ascii="Arial" w:hAnsi="Arial" w:cs="Arial"/>
              </w:rPr>
              <w:t>1323</w:t>
            </w:r>
          </w:p>
        </w:tc>
        <w:tc>
          <w:tcPr>
            <w:tcW w:w="1486" w:type="dxa"/>
            <w:tcBorders>
              <w:top w:val="single" w:sz="4" w:space="0" w:color="000000"/>
              <w:left w:val="single" w:sz="4" w:space="0" w:color="000000"/>
              <w:bottom w:val="single" w:sz="4" w:space="0" w:color="000000"/>
              <w:right w:val="single" w:sz="4" w:space="0" w:color="000000"/>
            </w:tcBorders>
            <w:vAlign w:val="bottom"/>
          </w:tcPr>
          <w:p w:rsidR="0068743F" w:rsidRDefault="0068743F" w:rsidP="0068743F">
            <w:pPr>
              <w:rPr>
                <w:rFonts w:ascii="Arial" w:hAnsi="Arial" w:cs="Arial"/>
              </w:rPr>
            </w:pPr>
            <w:r>
              <w:rPr>
                <w:rFonts w:ascii="Arial" w:hAnsi="Arial" w:cs="Arial"/>
              </w:rPr>
              <w:t>252</w:t>
            </w:r>
          </w:p>
        </w:tc>
        <w:tc>
          <w:tcPr>
            <w:tcW w:w="2286" w:type="dxa"/>
            <w:tcBorders>
              <w:top w:val="single" w:sz="4" w:space="0" w:color="000000"/>
              <w:left w:val="single" w:sz="4" w:space="0" w:color="000000"/>
              <w:bottom w:val="single" w:sz="4" w:space="0" w:color="000000"/>
              <w:right w:val="single" w:sz="4" w:space="0" w:color="000000"/>
            </w:tcBorders>
            <w:vAlign w:val="bottom"/>
          </w:tcPr>
          <w:p w:rsidR="0068743F" w:rsidRDefault="0068743F" w:rsidP="0068743F">
            <w:pPr>
              <w:rPr>
                <w:rFonts w:ascii="Arial" w:hAnsi="Arial" w:cs="Arial"/>
              </w:rPr>
            </w:pPr>
            <w:r>
              <w:rPr>
                <w:rFonts w:ascii="Arial" w:hAnsi="Arial" w:cs="Arial"/>
              </w:rPr>
              <w:t>79 (79)</w:t>
            </w:r>
          </w:p>
        </w:tc>
        <w:tc>
          <w:tcPr>
            <w:tcW w:w="2095" w:type="dxa"/>
            <w:tcBorders>
              <w:top w:val="single" w:sz="4" w:space="0" w:color="000000"/>
              <w:left w:val="single" w:sz="4" w:space="0" w:color="000000"/>
              <w:bottom w:val="single" w:sz="4" w:space="0" w:color="000000"/>
              <w:right w:val="single" w:sz="4" w:space="0" w:color="000000"/>
            </w:tcBorders>
            <w:vAlign w:val="bottom"/>
          </w:tcPr>
          <w:p w:rsidR="0068743F" w:rsidRDefault="0068743F" w:rsidP="0068743F">
            <w:pPr>
              <w:rPr>
                <w:rFonts w:ascii="Arial" w:hAnsi="Arial" w:cs="Arial"/>
              </w:rPr>
            </w:pPr>
            <w:r>
              <w:rPr>
                <w:rFonts w:ascii="Arial" w:hAnsi="Arial" w:cs="Arial"/>
              </w:rPr>
              <w:t>31%</w:t>
            </w:r>
          </w:p>
        </w:tc>
      </w:tr>
      <w:tr w:rsidR="0068743F" w:rsidRPr="00B11612" w:rsidTr="0068743F">
        <w:trPr>
          <w:trHeight w:hRule="exact" w:val="360"/>
        </w:trPr>
        <w:tc>
          <w:tcPr>
            <w:tcW w:w="1856" w:type="dxa"/>
            <w:shd w:val="clear" w:color="auto" w:fill="D9D9D9"/>
            <w:vAlign w:val="bottom"/>
          </w:tcPr>
          <w:p w:rsidR="0068743F" w:rsidRDefault="0068743F" w:rsidP="0068743F">
            <w:pPr>
              <w:rPr>
                <w:rFonts w:ascii="Arial" w:hAnsi="Arial" w:cs="Arial"/>
              </w:rPr>
            </w:pPr>
            <w:r>
              <w:rPr>
                <w:rFonts w:ascii="Arial" w:hAnsi="Arial" w:cs="Arial"/>
              </w:rPr>
              <w:t>2015</w:t>
            </w:r>
          </w:p>
        </w:tc>
        <w:tc>
          <w:tcPr>
            <w:tcW w:w="1853" w:type="dxa"/>
            <w:vAlign w:val="bottom"/>
          </w:tcPr>
          <w:p w:rsidR="0068743F" w:rsidRDefault="0068743F" w:rsidP="0068743F">
            <w:pPr>
              <w:rPr>
                <w:rFonts w:ascii="Arial" w:hAnsi="Arial" w:cs="Arial"/>
              </w:rPr>
            </w:pPr>
            <w:r>
              <w:rPr>
                <w:rFonts w:ascii="Arial" w:hAnsi="Arial" w:cs="Arial"/>
              </w:rPr>
              <w:t>1162</w:t>
            </w:r>
          </w:p>
        </w:tc>
        <w:tc>
          <w:tcPr>
            <w:tcW w:w="1486" w:type="dxa"/>
            <w:vAlign w:val="bottom"/>
          </w:tcPr>
          <w:p w:rsidR="0068743F" w:rsidRDefault="0068743F" w:rsidP="0068743F">
            <w:pPr>
              <w:rPr>
                <w:rFonts w:ascii="Arial" w:hAnsi="Arial" w:cs="Arial"/>
              </w:rPr>
            </w:pPr>
            <w:r>
              <w:rPr>
                <w:rFonts w:ascii="Arial" w:hAnsi="Arial" w:cs="Arial"/>
              </w:rPr>
              <w:t>221</w:t>
            </w:r>
          </w:p>
        </w:tc>
        <w:tc>
          <w:tcPr>
            <w:tcW w:w="2286" w:type="dxa"/>
            <w:vAlign w:val="bottom"/>
          </w:tcPr>
          <w:p w:rsidR="0068743F" w:rsidRDefault="0068743F" w:rsidP="0068743F">
            <w:pPr>
              <w:rPr>
                <w:rFonts w:ascii="Arial" w:hAnsi="Arial" w:cs="Arial"/>
              </w:rPr>
            </w:pPr>
            <w:r>
              <w:rPr>
                <w:rFonts w:ascii="Arial" w:hAnsi="Arial" w:cs="Arial"/>
              </w:rPr>
              <w:t>80 (81)</w:t>
            </w:r>
          </w:p>
        </w:tc>
        <w:tc>
          <w:tcPr>
            <w:tcW w:w="2095" w:type="dxa"/>
            <w:vAlign w:val="bottom"/>
          </w:tcPr>
          <w:p w:rsidR="0068743F" w:rsidRDefault="0068743F" w:rsidP="0068743F">
            <w:pPr>
              <w:rPr>
                <w:rFonts w:ascii="Arial" w:hAnsi="Arial" w:cs="Arial"/>
              </w:rPr>
            </w:pPr>
            <w:r>
              <w:rPr>
                <w:rFonts w:ascii="Arial" w:hAnsi="Arial" w:cs="Arial"/>
              </w:rPr>
              <w:t>36%</w:t>
            </w:r>
          </w:p>
        </w:tc>
      </w:tr>
      <w:tr w:rsidR="0068743F" w:rsidRPr="00B11612" w:rsidTr="0068743F">
        <w:trPr>
          <w:trHeight w:hRule="exact" w:val="360"/>
        </w:trPr>
        <w:tc>
          <w:tcPr>
            <w:tcW w:w="1856" w:type="dxa"/>
            <w:shd w:val="clear" w:color="auto" w:fill="D9D9D9"/>
            <w:vAlign w:val="bottom"/>
          </w:tcPr>
          <w:p w:rsidR="0068743F" w:rsidRDefault="0068743F" w:rsidP="0068743F">
            <w:pPr>
              <w:rPr>
                <w:rFonts w:ascii="Arial" w:hAnsi="Arial" w:cs="Arial"/>
              </w:rPr>
            </w:pPr>
            <w:r>
              <w:rPr>
                <w:rFonts w:ascii="Arial" w:hAnsi="Arial" w:cs="Arial"/>
              </w:rPr>
              <w:t>2014</w:t>
            </w:r>
          </w:p>
        </w:tc>
        <w:tc>
          <w:tcPr>
            <w:tcW w:w="1853" w:type="dxa"/>
            <w:vAlign w:val="bottom"/>
          </w:tcPr>
          <w:p w:rsidR="0068743F" w:rsidRDefault="0068743F" w:rsidP="0068743F">
            <w:pPr>
              <w:rPr>
                <w:rFonts w:ascii="Arial" w:hAnsi="Arial" w:cs="Arial"/>
              </w:rPr>
            </w:pPr>
            <w:r>
              <w:rPr>
                <w:rFonts w:ascii="Arial" w:hAnsi="Arial" w:cs="Arial"/>
              </w:rPr>
              <w:t>1221</w:t>
            </w:r>
          </w:p>
        </w:tc>
        <w:tc>
          <w:tcPr>
            <w:tcW w:w="1486" w:type="dxa"/>
            <w:vAlign w:val="bottom"/>
          </w:tcPr>
          <w:p w:rsidR="0068743F" w:rsidRDefault="0068743F" w:rsidP="0068743F">
            <w:pPr>
              <w:rPr>
                <w:rFonts w:ascii="Arial" w:hAnsi="Arial" w:cs="Arial"/>
              </w:rPr>
            </w:pPr>
            <w:r>
              <w:rPr>
                <w:rFonts w:ascii="Arial" w:hAnsi="Arial" w:cs="Arial"/>
              </w:rPr>
              <w:t>187</w:t>
            </w:r>
          </w:p>
        </w:tc>
        <w:tc>
          <w:tcPr>
            <w:tcW w:w="2286" w:type="dxa"/>
            <w:vAlign w:val="bottom"/>
          </w:tcPr>
          <w:p w:rsidR="0068743F" w:rsidRDefault="0068743F" w:rsidP="0068743F">
            <w:pPr>
              <w:rPr>
                <w:rFonts w:ascii="Arial" w:hAnsi="Arial" w:cs="Arial"/>
              </w:rPr>
            </w:pPr>
            <w:r>
              <w:rPr>
                <w:rFonts w:ascii="Arial" w:hAnsi="Arial" w:cs="Arial"/>
              </w:rPr>
              <w:t>65 (65)</w:t>
            </w:r>
          </w:p>
        </w:tc>
        <w:tc>
          <w:tcPr>
            <w:tcW w:w="2095" w:type="dxa"/>
            <w:vAlign w:val="bottom"/>
          </w:tcPr>
          <w:p w:rsidR="0068743F" w:rsidRDefault="00AE7B4F" w:rsidP="0068743F">
            <w:pPr>
              <w:rPr>
                <w:rFonts w:ascii="Arial" w:hAnsi="Arial" w:cs="Arial"/>
              </w:rPr>
            </w:pPr>
            <w:r>
              <w:rPr>
                <w:rFonts w:ascii="Arial" w:hAnsi="Arial" w:cs="Arial"/>
              </w:rPr>
              <w:t>35</w:t>
            </w:r>
            <w:r w:rsidR="0068743F">
              <w:rPr>
                <w:rFonts w:ascii="Arial" w:hAnsi="Arial" w:cs="Arial"/>
              </w:rPr>
              <w:t>%</w:t>
            </w:r>
          </w:p>
        </w:tc>
      </w:tr>
      <w:tr w:rsidR="0068743F" w:rsidRPr="00B11612" w:rsidTr="0068743F">
        <w:trPr>
          <w:trHeight w:hRule="exact" w:val="360"/>
        </w:trPr>
        <w:tc>
          <w:tcPr>
            <w:tcW w:w="1856" w:type="dxa"/>
            <w:shd w:val="clear" w:color="auto" w:fill="D9D9D9"/>
            <w:vAlign w:val="bottom"/>
          </w:tcPr>
          <w:p w:rsidR="0068743F" w:rsidRDefault="0068743F" w:rsidP="0068743F">
            <w:pPr>
              <w:rPr>
                <w:rFonts w:ascii="Arial" w:hAnsi="Arial" w:cs="Arial"/>
              </w:rPr>
            </w:pPr>
            <w:r>
              <w:rPr>
                <w:rFonts w:ascii="Arial" w:hAnsi="Arial" w:cs="Arial"/>
              </w:rPr>
              <w:t>2013</w:t>
            </w:r>
          </w:p>
        </w:tc>
        <w:tc>
          <w:tcPr>
            <w:tcW w:w="1853" w:type="dxa"/>
            <w:vAlign w:val="bottom"/>
          </w:tcPr>
          <w:p w:rsidR="0068743F" w:rsidRDefault="0068743F" w:rsidP="0068743F">
            <w:pPr>
              <w:rPr>
                <w:rFonts w:ascii="Arial" w:hAnsi="Arial" w:cs="Arial"/>
              </w:rPr>
            </w:pPr>
            <w:r>
              <w:rPr>
                <w:rFonts w:ascii="Arial" w:hAnsi="Arial" w:cs="Arial"/>
              </w:rPr>
              <w:t>1217</w:t>
            </w:r>
          </w:p>
        </w:tc>
        <w:tc>
          <w:tcPr>
            <w:tcW w:w="1486" w:type="dxa"/>
            <w:vAlign w:val="bottom"/>
          </w:tcPr>
          <w:p w:rsidR="0068743F" w:rsidRDefault="0068743F" w:rsidP="0068743F">
            <w:pPr>
              <w:rPr>
                <w:rFonts w:ascii="Arial" w:hAnsi="Arial" w:cs="Arial"/>
              </w:rPr>
            </w:pPr>
            <w:r>
              <w:rPr>
                <w:rFonts w:ascii="Arial" w:hAnsi="Arial" w:cs="Arial"/>
              </w:rPr>
              <w:t>230</w:t>
            </w:r>
          </w:p>
        </w:tc>
        <w:tc>
          <w:tcPr>
            <w:tcW w:w="2286" w:type="dxa"/>
            <w:vAlign w:val="bottom"/>
          </w:tcPr>
          <w:p w:rsidR="0068743F" w:rsidRDefault="0068743F" w:rsidP="0068743F">
            <w:pPr>
              <w:rPr>
                <w:rFonts w:ascii="Arial" w:hAnsi="Arial" w:cs="Arial"/>
              </w:rPr>
            </w:pPr>
            <w:r>
              <w:rPr>
                <w:rFonts w:ascii="Arial" w:hAnsi="Arial" w:cs="Arial"/>
              </w:rPr>
              <w:t>91 (89)</w:t>
            </w:r>
          </w:p>
        </w:tc>
        <w:tc>
          <w:tcPr>
            <w:tcW w:w="2095" w:type="dxa"/>
            <w:vAlign w:val="bottom"/>
          </w:tcPr>
          <w:p w:rsidR="0068743F" w:rsidRDefault="00AE7B4F" w:rsidP="0068743F">
            <w:pPr>
              <w:rPr>
                <w:rFonts w:ascii="Arial" w:hAnsi="Arial" w:cs="Arial"/>
              </w:rPr>
            </w:pPr>
            <w:r>
              <w:rPr>
                <w:rFonts w:ascii="Arial" w:hAnsi="Arial" w:cs="Arial"/>
              </w:rPr>
              <w:t>40</w:t>
            </w:r>
            <w:r w:rsidR="0068743F">
              <w:rPr>
                <w:rFonts w:ascii="Arial" w:hAnsi="Arial" w:cs="Arial"/>
              </w:rPr>
              <w:t>%</w:t>
            </w:r>
          </w:p>
        </w:tc>
      </w:tr>
      <w:tr w:rsidR="0068743F" w:rsidRPr="00B11612" w:rsidTr="0068743F">
        <w:trPr>
          <w:trHeight w:hRule="exact" w:val="360"/>
        </w:trPr>
        <w:tc>
          <w:tcPr>
            <w:tcW w:w="1856" w:type="dxa"/>
            <w:shd w:val="clear" w:color="auto" w:fill="D9D9D9"/>
            <w:vAlign w:val="bottom"/>
          </w:tcPr>
          <w:p w:rsidR="0068743F" w:rsidRDefault="0068743F" w:rsidP="0068743F">
            <w:pPr>
              <w:rPr>
                <w:rFonts w:ascii="Arial" w:hAnsi="Arial" w:cs="Arial"/>
              </w:rPr>
            </w:pPr>
            <w:r>
              <w:rPr>
                <w:rFonts w:ascii="Arial" w:hAnsi="Arial" w:cs="Arial"/>
              </w:rPr>
              <w:t>2012</w:t>
            </w:r>
          </w:p>
        </w:tc>
        <w:tc>
          <w:tcPr>
            <w:tcW w:w="1853" w:type="dxa"/>
            <w:vAlign w:val="bottom"/>
          </w:tcPr>
          <w:p w:rsidR="0068743F" w:rsidRDefault="0068743F" w:rsidP="0068743F">
            <w:pPr>
              <w:rPr>
                <w:rFonts w:ascii="Arial" w:hAnsi="Arial" w:cs="Arial"/>
              </w:rPr>
            </w:pPr>
            <w:r>
              <w:rPr>
                <w:rFonts w:ascii="Arial" w:hAnsi="Arial" w:cs="Arial"/>
              </w:rPr>
              <w:t>1443</w:t>
            </w:r>
          </w:p>
        </w:tc>
        <w:tc>
          <w:tcPr>
            <w:tcW w:w="1486" w:type="dxa"/>
            <w:vAlign w:val="bottom"/>
          </w:tcPr>
          <w:p w:rsidR="0068743F" w:rsidRDefault="0068743F" w:rsidP="0068743F">
            <w:pPr>
              <w:rPr>
                <w:rFonts w:ascii="Arial" w:hAnsi="Arial" w:cs="Arial"/>
              </w:rPr>
            </w:pPr>
            <w:r>
              <w:rPr>
                <w:rFonts w:ascii="Arial" w:hAnsi="Arial" w:cs="Arial"/>
              </w:rPr>
              <w:t>251</w:t>
            </w:r>
          </w:p>
        </w:tc>
        <w:tc>
          <w:tcPr>
            <w:tcW w:w="2286" w:type="dxa"/>
            <w:vAlign w:val="bottom"/>
          </w:tcPr>
          <w:p w:rsidR="0068743F" w:rsidRDefault="0068743F" w:rsidP="0068743F">
            <w:pPr>
              <w:rPr>
                <w:rFonts w:ascii="Arial" w:hAnsi="Arial" w:cs="Arial"/>
              </w:rPr>
            </w:pPr>
            <w:r>
              <w:rPr>
                <w:rFonts w:ascii="Arial" w:hAnsi="Arial" w:cs="Arial"/>
              </w:rPr>
              <w:t>85 (86)</w:t>
            </w:r>
          </w:p>
        </w:tc>
        <w:tc>
          <w:tcPr>
            <w:tcW w:w="2095" w:type="dxa"/>
            <w:vAlign w:val="bottom"/>
          </w:tcPr>
          <w:p w:rsidR="0068743F" w:rsidRDefault="0068743F" w:rsidP="00AE7B4F">
            <w:pPr>
              <w:rPr>
                <w:rFonts w:ascii="Arial" w:hAnsi="Arial" w:cs="Arial"/>
              </w:rPr>
            </w:pPr>
            <w:r>
              <w:rPr>
                <w:rFonts w:ascii="Arial" w:hAnsi="Arial" w:cs="Arial"/>
              </w:rPr>
              <w:t>3</w:t>
            </w:r>
            <w:r w:rsidR="00AE7B4F">
              <w:rPr>
                <w:rFonts w:ascii="Arial" w:hAnsi="Arial" w:cs="Arial"/>
              </w:rPr>
              <w:t>4</w:t>
            </w:r>
            <w:r>
              <w:rPr>
                <w:rFonts w:ascii="Arial" w:hAnsi="Arial" w:cs="Arial"/>
              </w:rPr>
              <w:t>%</w:t>
            </w:r>
          </w:p>
        </w:tc>
      </w:tr>
      <w:tr w:rsidR="0068743F" w:rsidRPr="00B11612" w:rsidTr="0068743F">
        <w:trPr>
          <w:trHeight w:hRule="exact" w:val="360"/>
        </w:trPr>
        <w:tc>
          <w:tcPr>
            <w:tcW w:w="1856" w:type="dxa"/>
            <w:shd w:val="clear" w:color="auto" w:fill="D9D9D9"/>
            <w:vAlign w:val="bottom"/>
          </w:tcPr>
          <w:p w:rsidR="0068743F" w:rsidRPr="00B11612" w:rsidRDefault="0068743F" w:rsidP="0068743F">
            <w:pPr>
              <w:rPr>
                <w:rFonts w:ascii="Arial" w:hAnsi="Arial" w:cs="Arial"/>
              </w:rPr>
            </w:pPr>
            <w:r>
              <w:rPr>
                <w:rFonts w:ascii="Arial" w:hAnsi="Arial" w:cs="Arial"/>
              </w:rPr>
              <w:t>2011</w:t>
            </w:r>
          </w:p>
        </w:tc>
        <w:tc>
          <w:tcPr>
            <w:tcW w:w="1853" w:type="dxa"/>
            <w:vAlign w:val="bottom"/>
          </w:tcPr>
          <w:p w:rsidR="0068743F" w:rsidRPr="00B11612" w:rsidRDefault="0068743F" w:rsidP="0068743F">
            <w:pPr>
              <w:rPr>
                <w:rFonts w:ascii="Arial" w:hAnsi="Arial" w:cs="Arial"/>
              </w:rPr>
            </w:pPr>
            <w:r>
              <w:rPr>
                <w:rFonts w:ascii="Arial" w:hAnsi="Arial" w:cs="Arial"/>
              </w:rPr>
              <w:t>1149</w:t>
            </w:r>
          </w:p>
        </w:tc>
        <w:tc>
          <w:tcPr>
            <w:tcW w:w="1486" w:type="dxa"/>
            <w:vAlign w:val="bottom"/>
          </w:tcPr>
          <w:p w:rsidR="0068743F" w:rsidRPr="00B11612" w:rsidRDefault="0068743F" w:rsidP="0068743F">
            <w:pPr>
              <w:rPr>
                <w:rFonts w:ascii="Arial" w:hAnsi="Arial" w:cs="Arial"/>
              </w:rPr>
            </w:pPr>
            <w:r>
              <w:rPr>
                <w:rFonts w:ascii="Arial" w:hAnsi="Arial" w:cs="Arial"/>
              </w:rPr>
              <w:t>250</w:t>
            </w:r>
          </w:p>
        </w:tc>
        <w:tc>
          <w:tcPr>
            <w:tcW w:w="2286" w:type="dxa"/>
            <w:vAlign w:val="bottom"/>
          </w:tcPr>
          <w:p w:rsidR="0068743F" w:rsidRPr="00B11612" w:rsidRDefault="0068743F" w:rsidP="0068743F">
            <w:pPr>
              <w:rPr>
                <w:rFonts w:ascii="Arial" w:hAnsi="Arial" w:cs="Arial"/>
              </w:rPr>
            </w:pPr>
            <w:r>
              <w:rPr>
                <w:rFonts w:ascii="Arial" w:hAnsi="Arial" w:cs="Arial"/>
              </w:rPr>
              <w:t>84 (83)</w:t>
            </w:r>
          </w:p>
        </w:tc>
        <w:tc>
          <w:tcPr>
            <w:tcW w:w="2095" w:type="dxa"/>
            <w:vAlign w:val="bottom"/>
          </w:tcPr>
          <w:p w:rsidR="0068743F" w:rsidRDefault="0068743F" w:rsidP="00AE7B4F">
            <w:pPr>
              <w:rPr>
                <w:rFonts w:ascii="Arial" w:hAnsi="Arial" w:cs="Arial"/>
              </w:rPr>
            </w:pPr>
            <w:r>
              <w:rPr>
                <w:rFonts w:ascii="Arial" w:hAnsi="Arial" w:cs="Arial"/>
              </w:rPr>
              <w:t>3</w:t>
            </w:r>
            <w:r w:rsidR="00AE7B4F">
              <w:rPr>
                <w:rFonts w:ascii="Arial" w:hAnsi="Arial" w:cs="Arial"/>
              </w:rPr>
              <w:t>4</w:t>
            </w:r>
            <w:r>
              <w:rPr>
                <w:rFonts w:ascii="Arial" w:hAnsi="Arial" w:cs="Arial"/>
              </w:rPr>
              <w:t>%</w:t>
            </w:r>
          </w:p>
        </w:tc>
      </w:tr>
      <w:tr w:rsidR="0068743F" w:rsidRPr="00B11612" w:rsidTr="0068743F">
        <w:trPr>
          <w:trHeight w:hRule="exact" w:val="360"/>
        </w:trPr>
        <w:tc>
          <w:tcPr>
            <w:tcW w:w="1856" w:type="dxa"/>
            <w:shd w:val="clear" w:color="auto" w:fill="D9D9D9"/>
            <w:vAlign w:val="bottom"/>
          </w:tcPr>
          <w:p w:rsidR="0068743F" w:rsidRPr="00B11612" w:rsidRDefault="0068743F" w:rsidP="0068743F">
            <w:pPr>
              <w:rPr>
                <w:rFonts w:ascii="Arial" w:hAnsi="Arial" w:cs="Arial"/>
              </w:rPr>
            </w:pPr>
            <w:r>
              <w:rPr>
                <w:rFonts w:ascii="Arial" w:hAnsi="Arial" w:cs="Arial"/>
              </w:rPr>
              <w:t>2010</w:t>
            </w:r>
          </w:p>
        </w:tc>
        <w:tc>
          <w:tcPr>
            <w:tcW w:w="1853" w:type="dxa"/>
            <w:vAlign w:val="bottom"/>
          </w:tcPr>
          <w:p w:rsidR="0068743F" w:rsidRPr="00B11612" w:rsidRDefault="0068743F" w:rsidP="0068743F">
            <w:pPr>
              <w:rPr>
                <w:rFonts w:ascii="Arial" w:hAnsi="Arial" w:cs="Arial"/>
              </w:rPr>
            </w:pPr>
            <w:r>
              <w:rPr>
                <w:rFonts w:ascii="Arial" w:hAnsi="Arial" w:cs="Arial"/>
              </w:rPr>
              <w:t>1128</w:t>
            </w:r>
          </w:p>
        </w:tc>
        <w:tc>
          <w:tcPr>
            <w:tcW w:w="1486" w:type="dxa"/>
            <w:vAlign w:val="bottom"/>
          </w:tcPr>
          <w:p w:rsidR="0068743F" w:rsidRPr="00B11612" w:rsidRDefault="0068743F" w:rsidP="0068743F">
            <w:pPr>
              <w:rPr>
                <w:rFonts w:ascii="Arial" w:hAnsi="Arial" w:cs="Arial"/>
              </w:rPr>
            </w:pPr>
            <w:r>
              <w:rPr>
                <w:rFonts w:ascii="Arial" w:hAnsi="Arial" w:cs="Arial"/>
              </w:rPr>
              <w:t>213</w:t>
            </w:r>
          </w:p>
        </w:tc>
        <w:tc>
          <w:tcPr>
            <w:tcW w:w="2286" w:type="dxa"/>
            <w:vAlign w:val="bottom"/>
          </w:tcPr>
          <w:p w:rsidR="0068743F" w:rsidRPr="00B11612" w:rsidRDefault="0068743F" w:rsidP="0068743F">
            <w:pPr>
              <w:rPr>
                <w:rFonts w:ascii="Arial" w:hAnsi="Arial" w:cs="Arial"/>
              </w:rPr>
            </w:pPr>
            <w:r>
              <w:rPr>
                <w:rFonts w:ascii="Arial" w:hAnsi="Arial" w:cs="Arial"/>
              </w:rPr>
              <w:t>76 (74)</w:t>
            </w:r>
          </w:p>
        </w:tc>
        <w:tc>
          <w:tcPr>
            <w:tcW w:w="2095" w:type="dxa"/>
            <w:vAlign w:val="bottom"/>
          </w:tcPr>
          <w:p w:rsidR="0068743F" w:rsidRDefault="0068743F" w:rsidP="00AE7B4F">
            <w:pPr>
              <w:rPr>
                <w:rFonts w:ascii="Arial" w:hAnsi="Arial" w:cs="Arial"/>
              </w:rPr>
            </w:pPr>
            <w:r>
              <w:rPr>
                <w:rFonts w:ascii="Arial" w:hAnsi="Arial" w:cs="Arial"/>
              </w:rPr>
              <w:t>3</w:t>
            </w:r>
            <w:r w:rsidR="00AE7B4F">
              <w:rPr>
                <w:rFonts w:ascii="Arial" w:hAnsi="Arial" w:cs="Arial"/>
              </w:rPr>
              <w:t>6</w:t>
            </w:r>
            <w:r>
              <w:rPr>
                <w:rFonts w:ascii="Arial" w:hAnsi="Arial" w:cs="Arial"/>
              </w:rPr>
              <w:t>%</w:t>
            </w:r>
          </w:p>
        </w:tc>
      </w:tr>
      <w:tr w:rsidR="0068743F" w:rsidRPr="00B11612" w:rsidTr="0068743F">
        <w:trPr>
          <w:trHeight w:hRule="exact" w:val="360"/>
        </w:trPr>
        <w:tc>
          <w:tcPr>
            <w:tcW w:w="1856" w:type="dxa"/>
            <w:shd w:val="clear" w:color="auto" w:fill="D9D9D9"/>
            <w:vAlign w:val="bottom"/>
          </w:tcPr>
          <w:p w:rsidR="0068743F" w:rsidRPr="00B11612" w:rsidRDefault="0068743F" w:rsidP="0068743F">
            <w:pPr>
              <w:rPr>
                <w:rFonts w:ascii="Arial" w:hAnsi="Arial" w:cs="Arial"/>
              </w:rPr>
            </w:pPr>
            <w:r w:rsidRPr="00B11612">
              <w:rPr>
                <w:rFonts w:ascii="Arial" w:hAnsi="Arial" w:cs="Arial"/>
              </w:rPr>
              <w:t>2009</w:t>
            </w:r>
          </w:p>
        </w:tc>
        <w:tc>
          <w:tcPr>
            <w:tcW w:w="1853" w:type="dxa"/>
            <w:vAlign w:val="bottom"/>
          </w:tcPr>
          <w:p w:rsidR="0068743F" w:rsidRPr="00B11612" w:rsidRDefault="0068743F" w:rsidP="0068743F">
            <w:pPr>
              <w:rPr>
                <w:rFonts w:ascii="Arial" w:hAnsi="Arial" w:cs="Arial"/>
              </w:rPr>
            </w:pPr>
            <w:r w:rsidRPr="00B11612">
              <w:rPr>
                <w:rFonts w:ascii="Arial" w:hAnsi="Arial" w:cs="Arial"/>
              </w:rPr>
              <w:t>1086</w:t>
            </w:r>
          </w:p>
        </w:tc>
        <w:tc>
          <w:tcPr>
            <w:tcW w:w="1486" w:type="dxa"/>
            <w:vAlign w:val="bottom"/>
          </w:tcPr>
          <w:p w:rsidR="0068743F" w:rsidRPr="00B11612" w:rsidRDefault="0068743F" w:rsidP="0068743F">
            <w:pPr>
              <w:rPr>
                <w:rFonts w:ascii="Arial" w:hAnsi="Arial" w:cs="Arial"/>
              </w:rPr>
            </w:pPr>
            <w:r w:rsidRPr="00B11612">
              <w:rPr>
                <w:rFonts w:ascii="Arial" w:hAnsi="Arial" w:cs="Arial"/>
              </w:rPr>
              <w:t>202</w:t>
            </w:r>
          </w:p>
        </w:tc>
        <w:tc>
          <w:tcPr>
            <w:tcW w:w="2286" w:type="dxa"/>
            <w:vAlign w:val="bottom"/>
          </w:tcPr>
          <w:p w:rsidR="0068743F" w:rsidRPr="00B11612" w:rsidRDefault="0068743F" w:rsidP="0068743F">
            <w:pPr>
              <w:rPr>
                <w:rFonts w:ascii="Arial" w:hAnsi="Arial" w:cs="Arial"/>
              </w:rPr>
            </w:pPr>
            <w:r w:rsidRPr="00B11612">
              <w:rPr>
                <w:rFonts w:ascii="Arial" w:hAnsi="Arial" w:cs="Arial"/>
              </w:rPr>
              <w:t>86</w:t>
            </w:r>
            <w:r>
              <w:rPr>
                <w:rFonts w:ascii="Arial" w:hAnsi="Arial" w:cs="Arial"/>
              </w:rPr>
              <w:t xml:space="preserve"> (86)</w:t>
            </w:r>
          </w:p>
        </w:tc>
        <w:tc>
          <w:tcPr>
            <w:tcW w:w="2095" w:type="dxa"/>
            <w:vAlign w:val="bottom"/>
          </w:tcPr>
          <w:p w:rsidR="0068743F" w:rsidRPr="00B11612" w:rsidRDefault="0068743F" w:rsidP="00AE7B4F">
            <w:pPr>
              <w:rPr>
                <w:rFonts w:ascii="Arial" w:hAnsi="Arial" w:cs="Arial"/>
              </w:rPr>
            </w:pPr>
            <w:r>
              <w:rPr>
                <w:rFonts w:ascii="Arial" w:hAnsi="Arial" w:cs="Arial"/>
              </w:rPr>
              <w:t>4</w:t>
            </w:r>
            <w:r w:rsidR="00AE7B4F">
              <w:rPr>
                <w:rFonts w:ascii="Arial" w:hAnsi="Arial" w:cs="Arial"/>
              </w:rPr>
              <w:t>3</w:t>
            </w:r>
            <w:r w:rsidRPr="00B11612">
              <w:rPr>
                <w:rFonts w:ascii="Arial" w:hAnsi="Arial" w:cs="Arial"/>
              </w:rPr>
              <w:t>%</w:t>
            </w:r>
          </w:p>
        </w:tc>
      </w:tr>
      <w:tr w:rsidR="0068743F" w:rsidRPr="00B11612" w:rsidTr="0068743F">
        <w:trPr>
          <w:trHeight w:hRule="exact" w:val="360"/>
        </w:trPr>
        <w:tc>
          <w:tcPr>
            <w:tcW w:w="1856" w:type="dxa"/>
            <w:shd w:val="clear" w:color="auto" w:fill="D9D9D9"/>
            <w:vAlign w:val="bottom"/>
          </w:tcPr>
          <w:p w:rsidR="0068743F" w:rsidRPr="00B11612" w:rsidRDefault="0068743F" w:rsidP="0068743F">
            <w:pPr>
              <w:rPr>
                <w:rFonts w:ascii="Arial" w:hAnsi="Arial" w:cs="Arial"/>
              </w:rPr>
            </w:pPr>
            <w:r w:rsidRPr="00B11612">
              <w:rPr>
                <w:rFonts w:ascii="Arial" w:hAnsi="Arial" w:cs="Arial"/>
              </w:rPr>
              <w:t>2008</w:t>
            </w:r>
          </w:p>
        </w:tc>
        <w:tc>
          <w:tcPr>
            <w:tcW w:w="1853" w:type="dxa"/>
            <w:vAlign w:val="bottom"/>
          </w:tcPr>
          <w:p w:rsidR="0068743F" w:rsidRPr="00B11612" w:rsidRDefault="0068743F" w:rsidP="0068743F">
            <w:pPr>
              <w:rPr>
                <w:rFonts w:ascii="Arial" w:hAnsi="Arial" w:cs="Arial"/>
              </w:rPr>
            </w:pPr>
            <w:r w:rsidRPr="00B11612">
              <w:rPr>
                <w:rFonts w:ascii="Arial" w:hAnsi="Arial" w:cs="Arial"/>
              </w:rPr>
              <w:t>1111</w:t>
            </w:r>
          </w:p>
        </w:tc>
        <w:tc>
          <w:tcPr>
            <w:tcW w:w="1486" w:type="dxa"/>
            <w:vAlign w:val="bottom"/>
          </w:tcPr>
          <w:p w:rsidR="0068743F" w:rsidRPr="00B11612" w:rsidRDefault="0068743F" w:rsidP="0068743F">
            <w:pPr>
              <w:rPr>
                <w:rFonts w:ascii="Arial" w:hAnsi="Arial" w:cs="Arial"/>
              </w:rPr>
            </w:pPr>
            <w:r w:rsidRPr="00B11612">
              <w:rPr>
                <w:rFonts w:ascii="Arial" w:hAnsi="Arial" w:cs="Arial"/>
              </w:rPr>
              <w:t>261</w:t>
            </w:r>
          </w:p>
        </w:tc>
        <w:tc>
          <w:tcPr>
            <w:tcW w:w="2286" w:type="dxa"/>
            <w:vAlign w:val="bottom"/>
          </w:tcPr>
          <w:p w:rsidR="0068743F" w:rsidRPr="00B11612" w:rsidRDefault="0068743F" w:rsidP="0068743F">
            <w:pPr>
              <w:rPr>
                <w:rFonts w:ascii="Arial" w:hAnsi="Arial" w:cs="Arial"/>
              </w:rPr>
            </w:pPr>
            <w:r w:rsidRPr="00B11612">
              <w:rPr>
                <w:rFonts w:ascii="Arial" w:hAnsi="Arial" w:cs="Arial"/>
              </w:rPr>
              <w:t>121</w:t>
            </w:r>
            <w:r>
              <w:rPr>
                <w:rFonts w:ascii="Arial" w:hAnsi="Arial" w:cs="Arial"/>
              </w:rPr>
              <w:t xml:space="preserve"> (122)</w:t>
            </w:r>
          </w:p>
        </w:tc>
        <w:tc>
          <w:tcPr>
            <w:tcW w:w="2095" w:type="dxa"/>
            <w:vAlign w:val="bottom"/>
          </w:tcPr>
          <w:p w:rsidR="0068743F" w:rsidRPr="00B11612" w:rsidRDefault="0068743F" w:rsidP="00AE7B4F">
            <w:pPr>
              <w:rPr>
                <w:rFonts w:ascii="Arial" w:hAnsi="Arial" w:cs="Arial"/>
              </w:rPr>
            </w:pPr>
            <w:r w:rsidRPr="00B11612">
              <w:rPr>
                <w:rFonts w:ascii="Arial" w:hAnsi="Arial" w:cs="Arial"/>
              </w:rPr>
              <w:t>46%</w:t>
            </w:r>
          </w:p>
        </w:tc>
      </w:tr>
      <w:tr w:rsidR="0068743F" w:rsidRPr="00B11612" w:rsidTr="0068743F">
        <w:trPr>
          <w:trHeight w:hRule="exact" w:val="360"/>
        </w:trPr>
        <w:tc>
          <w:tcPr>
            <w:tcW w:w="1856" w:type="dxa"/>
            <w:shd w:val="clear" w:color="auto" w:fill="D9D9D9"/>
            <w:vAlign w:val="bottom"/>
          </w:tcPr>
          <w:p w:rsidR="0068743F" w:rsidRPr="00B11612" w:rsidRDefault="0068743F" w:rsidP="0068743F">
            <w:pPr>
              <w:rPr>
                <w:rFonts w:ascii="Arial" w:hAnsi="Arial" w:cs="Arial"/>
              </w:rPr>
            </w:pPr>
            <w:r w:rsidRPr="00B11612">
              <w:rPr>
                <w:rFonts w:ascii="Arial" w:hAnsi="Arial" w:cs="Arial"/>
              </w:rPr>
              <w:t>2007</w:t>
            </w:r>
          </w:p>
        </w:tc>
        <w:tc>
          <w:tcPr>
            <w:tcW w:w="1853" w:type="dxa"/>
            <w:vAlign w:val="bottom"/>
          </w:tcPr>
          <w:p w:rsidR="0068743F" w:rsidRPr="00B11612" w:rsidRDefault="0068743F" w:rsidP="0068743F">
            <w:pPr>
              <w:rPr>
                <w:rFonts w:ascii="Arial" w:hAnsi="Arial" w:cs="Arial"/>
              </w:rPr>
            </w:pPr>
            <w:r w:rsidRPr="00B11612">
              <w:rPr>
                <w:rFonts w:ascii="Arial" w:hAnsi="Arial" w:cs="Arial"/>
              </w:rPr>
              <w:t>850</w:t>
            </w:r>
          </w:p>
        </w:tc>
        <w:tc>
          <w:tcPr>
            <w:tcW w:w="1486" w:type="dxa"/>
            <w:vAlign w:val="bottom"/>
          </w:tcPr>
          <w:p w:rsidR="0068743F" w:rsidRPr="00B11612" w:rsidRDefault="0068743F" w:rsidP="0068743F">
            <w:pPr>
              <w:rPr>
                <w:rFonts w:ascii="Arial" w:hAnsi="Arial" w:cs="Arial"/>
              </w:rPr>
            </w:pPr>
          </w:p>
        </w:tc>
        <w:tc>
          <w:tcPr>
            <w:tcW w:w="2286" w:type="dxa"/>
            <w:vAlign w:val="bottom"/>
          </w:tcPr>
          <w:p w:rsidR="0068743F" w:rsidRPr="00B11612" w:rsidRDefault="0068743F" w:rsidP="0068743F">
            <w:pPr>
              <w:rPr>
                <w:rFonts w:ascii="Arial" w:hAnsi="Arial" w:cs="Arial"/>
              </w:rPr>
            </w:pPr>
            <w:r w:rsidRPr="00B11612">
              <w:rPr>
                <w:rFonts w:ascii="Arial" w:hAnsi="Arial" w:cs="Arial"/>
              </w:rPr>
              <w:t>93</w:t>
            </w:r>
          </w:p>
        </w:tc>
        <w:tc>
          <w:tcPr>
            <w:tcW w:w="2095" w:type="dxa"/>
            <w:vAlign w:val="bottom"/>
          </w:tcPr>
          <w:p w:rsidR="0068743F" w:rsidRPr="00B11612" w:rsidRDefault="0068743F" w:rsidP="0068743F">
            <w:pPr>
              <w:rPr>
                <w:rFonts w:ascii="Arial" w:hAnsi="Arial" w:cs="Arial"/>
              </w:rPr>
            </w:pPr>
            <w:r w:rsidRPr="00B11612">
              <w:rPr>
                <w:rFonts w:ascii="Arial" w:hAnsi="Arial" w:cs="Arial"/>
              </w:rPr>
              <w:t>37%</w:t>
            </w:r>
          </w:p>
        </w:tc>
      </w:tr>
    </w:tbl>
    <w:p w:rsidR="0012544D" w:rsidRPr="00C02DC1" w:rsidRDefault="0012544D" w:rsidP="0012544D">
      <w:pPr>
        <w:spacing w:before="120" w:after="120"/>
        <w:rPr>
          <w:rFonts w:ascii="Arial" w:hAnsi="Arial" w:cs="Arial"/>
          <w:sz w:val="22"/>
          <w:szCs w:val="23"/>
        </w:rPr>
      </w:pPr>
      <w:r w:rsidRPr="00C02DC1">
        <w:rPr>
          <w:rFonts w:ascii="Arial" w:hAnsi="Arial" w:cs="Arial"/>
          <w:b/>
          <w:sz w:val="22"/>
          <w:szCs w:val="23"/>
        </w:rPr>
        <w:t xml:space="preserve">BBSP First Year Activities. </w:t>
      </w:r>
      <w:r w:rsidRPr="00C02DC1">
        <w:rPr>
          <w:rFonts w:ascii="Arial" w:hAnsi="Arial" w:cs="Arial"/>
          <w:sz w:val="22"/>
          <w:szCs w:val="23"/>
        </w:rPr>
        <w:t>The program for all first-year PhD students consists of the following.</w:t>
      </w:r>
    </w:p>
    <w:p w:rsidR="0012544D" w:rsidRPr="00C02DC1" w:rsidRDefault="0012544D" w:rsidP="0012544D">
      <w:pPr>
        <w:pStyle w:val="Header"/>
        <w:keepNext/>
        <w:widowControl w:val="0"/>
        <w:tabs>
          <w:tab w:val="clear" w:pos="4320"/>
          <w:tab w:val="clear" w:pos="8640"/>
          <w:tab w:val="left" w:pos="720"/>
          <w:tab w:val="left" w:pos="6570"/>
        </w:tabs>
        <w:spacing w:after="120"/>
        <w:rPr>
          <w:rFonts w:ascii="Arial" w:hAnsi="Arial" w:cs="Arial"/>
          <w:b/>
          <w:sz w:val="22"/>
          <w:szCs w:val="23"/>
        </w:rPr>
      </w:pPr>
      <w:r w:rsidRPr="00C02DC1">
        <w:rPr>
          <w:rFonts w:ascii="Arial" w:hAnsi="Arial" w:cs="Arial"/>
          <w:sz w:val="22"/>
          <w:szCs w:val="23"/>
          <w:u w:val="single"/>
        </w:rPr>
        <w:t>First Year Groups (FYGs)</w:t>
      </w:r>
      <w:r w:rsidRPr="00C02DC1">
        <w:rPr>
          <w:rFonts w:ascii="Arial" w:hAnsi="Arial" w:cs="Arial"/>
          <w:sz w:val="22"/>
          <w:szCs w:val="23"/>
        </w:rPr>
        <w:t xml:space="preserve">: During their first year, BBSP students are part of small (14-16 students), interest-based groups led by four faculty members. </w:t>
      </w:r>
      <w:r>
        <w:rPr>
          <w:rFonts w:ascii="Arial" w:hAnsi="Arial" w:cs="Arial"/>
          <w:sz w:val="22"/>
          <w:szCs w:val="23"/>
        </w:rPr>
        <w:t xml:space="preserve">Four peer mentors (graduate students at different stages of their career) are also assigned to each FYG.  </w:t>
      </w:r>
      <w:r w:rsidRPr="00C02DC1">
        <w:rPr>
          <w:rFonts w:ascii="Arial" w:hAnsi="Arial" w:cs="Arial"/>
          <w:sz w:val="22"/>
          <w:szCs w:val="23"/>
        </w:rPr>
        <w:t xml:space="preserve">In this manner, all students have a cohort of faculty and peers that provide a supportive community for navigating the first year of graduate school when they have yet to join a degree-granting program.  Groups build community interactions through social events within the group.  These mandatory FYGs meet once a week for 1.5 hours.  Skill-building activities in the FYGs include scientific presentations by the students (four research seminars are </w:t>
      </w:r>
      <w:r>
        <w:rPr>
          <w:rFonts w:ascii="Arial" w:hAnsi="Arial" w:cs="Arial"/>
          <w:sz w:val="22"/>
          <w:szCs w:val="23"/>
        </w:rPr>
        <w:t>presented by</w:t>
      </w:r>
      <w:r w:rsidRPr="00C02DC1">
        <w:rPr>
          <w:rFonts w:ascii="Arial" w:hAnsi="Arial" w:cs="Arial"/>
          <w:sz w:val="22"/>
          <w:szCs w:val="23"/>
        </w:rPr>
        <w:t xml:space="preserve"> each student), logic/critical thinking/literature appreciation, quantitative skills, and scientific writing.  Responsible conduct of research training also occurs within the FYG setting.  FYGs also provide the structure for advising (i.e. selection of research rotations and courses) and the initiation of scientific discourse (e.g. through oral and poster presentations). Each of the FYG faculty members are assigned four students for whom they serve as the primary academic advisor. To help with advising, these faculty </w:t>
      </w:r>
      <w:r>
        <w:rPr>
          <w:rFonts w:ascii="Arial" w:hAnsi="Arial" w:cs="Arial"/>
          <w:sz w:val="22"/>
          <w:szCs w:val="23"/>
        </w:rPr>
        <w:t>members are</w:t>
      </w:r>
      <w:r w:rsidRPr="00C02DC1">
        <w:rPr>
          <w:rFonts w:ascii="Arial" w:hAnsi="Arial" w:cs="Arial"/>
          <w:sz w:val="22"/>
          <w:szCs w:val="23"/>
        </w:rPr>
        <w:t xml:space="preserve"> provided with </w:t>
      </w:r>
      <w:r>
        <w:rPr>
          <w:rFonts w:ascii="Arial" w:hAnsi="Arial" w:cs="Arial"/>
          <w:sz w:val="22"/>
          <w:szCs w:val="23"/>
        </w:rPr>
        <w:t>all the course requirement information</w:t>
      </w:r>
      <w:r w:rsidRPr="00C02DC1">
        <w:rPr>
          <w:rFonts w:ascii="Arial" w:hAnsi="Arial" w:cs="Arial"/>
          <w:sz w:val="22"/>
          <w:szCs w:val="23"/>
        </w:rPr>
        <w:t xml:space="preserve"> for each PhD program.  </w:t>
      </w:r>
      <w:r w:rsidR="00D77343">
        <w:rPr>
          <w:rFonts w:ascii="Arial" w:hAnsi="Arial" w:cs="Arial"/>
          <w:sz w:val="22"/>
          <w:szCs w:val="23"/>
        </w:rPr>
        <w:t>Some</w:t>
      </w:r>
      <w:r>
        <w:rPr>
          <w:rFonts w:ascii="Arial" w:hAnsi="Arial" w:cs="Arial"/>
          <w:sz w:val="22"/>
          <w:szCs w:val="23"/>
        </w:rPr>
        <w:t xml:space="preserve"> of our</w:t>
      </w:r>
      <w:r w:rsidRPr="00C02DC1">
        <w:rPr>
          <w:rFonts w:ascii="Arial" w:hAnsi="Arial" w:cs="Arial"/>
          <w:sz w:val="22"/>
          <w:szCs w:val="23"/>
        </w:rPr>
        <w:t xml:space="preserve"> training faculty participate as mentors in these FYGs </w:t>
      </w:r>
      <w:r w:rsidRPr="00D77343">
        <w:rPr>
          <w:rFonts w:ascii="Arial" w:hAnsi="Arial" w:cs="Arial"/>
          <w:sz w:val="22"/>
          <w:szCs w:val="23"/>
          <w:highlight w:val="yellow"/>
        </w:rPr>
        <w:t>(</w:t>
      </w:r>
      <w:r w:rsidR="00D77343" w:rsidRPr="00D77343">
        <w:rPr>
          <w:rFonts w:ascii="Arial" w:hAnsi="Arial" w:cs="Arial"/>
          <w:b/>
          <w:sz w:val="22"/>
          <w:szCs w:val="23"/>
          <w:highlight w:val="yellow"/>
        </w:rPr>
        <w:t>XXXX</w:t>
      </w:r>
      <w:r w:rsidRPr="00D77343">
        <w:rPr>
          <w:rFonts w:ascii="Arial" w:hAnsi="Arial" w:cs="Arial"/>
          <w:sz w:val="22"/>
          <w:szCs w:val="23"/>
          <w:highlight w:val="yellow"/>
        </w:rPr>
        <w:t>).</w:t>
      </w:r>
      <w:r w:rsidRPr="00C02DC1">
        <w:rPr>
          <w:rFonts w:ascii="Arial" w:hAnsi="Arial" w:cs="Arial"/>
          <w:sz w:val="22"/>
          <w:szCs w:val="23"/>
        </w:rPr>
        <w:t xml:space="preserve">  Thus, even before students commit to a research program, they will be advised of appropriate courses and aided in the se</w:t>
      </w:r>
      <w:r>
        <w:rPr>
          <w:rFonts w:ascii="Arial" w:hAnsi="Arial" w:cs="Arial"/>
          <w:sz w:val="22"/>
          <w:szCs w:val="23"/>
        </w:rPr>
        <w:t>lection of rotation</w:t>
      </w:r>
      <w:r w:rsidRPr="00C02DC1">
        <w:rPr>
          <w:rFonts w:ascii="Arial" w:hAnsi="Arial" w:cs="Arial"/>
          <w:sz w:val="22"/>
          <w:szCs w:val="23"/>
        </w:rPr>
        <w:t xml:space="preserve">s by mentors </w:t>
      </w:r>
      <w:r w:rsidRPr="00C02DC1">
        <w:rPr>
          <w:rFonts w:ascii="Arial" w:hAnsi="Arial" w:cs="Arial"/>
          <w:sz w:val="22"/>
          <w:szCs w:val="23"/>
        </w:rPr>
        <w:lastRenderedPageBreak/>
        <w:t xml:space="preserve">knowledgeable in departmental and training grant requirements.  </w:t>
      </w:r>
    </w:p>
    <w:p w:rsidR="0012544D" w:rsidRDefault="0012544D" w:rsidP="0012544D">
      <w:pPr>
        <w:spacing w:after="120"/>
        <w:rPr>
          <w:rFonts w:ascii="Arial" w:hAnsi="Arial" w:cs="Arial"/>
          <w:sz w:val="22"/>
          <w:szCs w:val="23"/>
        </w:rPr>
      </w:pPr>
      <w:r w:rsidRPr="00C02DC1">
        <w:rPr>
          <w:rFonts w:ascii="Arial" w:hAnsi="Arial" w:cs="Arial"/>
          <w:sz w:val="22"/>
          <w:szCs w:val="23"/>
          <w:u w:val="single"/>
        </w:rPr>
        <w:t>Laboratory Rotations:</w:t>
      </w:r>
      <w:r w:rsidRPr="00C02DC1">
        <w:rPr>
          <w:rFonts w:ascii="Arial" w:hAnsi="Arial" w:cs="Arial"/>
          <w:b/>
          <w:sz w:val="22"/>
          <w:szCs w:val="23"/>
        </w:rPr>
        <w:t xml:space="preserve"> </w:t>
      </w:r>
      <w:r w:rsidRPr="00C02DC1">
        <w:rPr>
          <w:rFonts w:ascii="Arial" w:hAnsi="Arial" w:cs="Arial"/>
          <w:sz w:val="22"/>
          <w:szCs w:val="23"/>
        </w:rPr>
        <w:t xml:space="preserve">All BBSP students are required to complete three </w:t>
      </w:r>
      <w:r w:rsidR="00F970F5">
        <w:rPr>
          <w:rFonts w:ascii="Arial" w:hAnsi="Arial" w:cs="Arial"/>
          <w:sz w:val="22"/>
          <w:szCs w:val="23"/>
        </w:rPr>
        <w:t>~10-</w:t>
      </w:r>
      <w:r w:rsidR="0068743F">
        <w:rPr>
          <w:rFonts w:ascii="Arial" w:hAnsi="Arial" w:cs="Arial"/>
          <w:sz w:val="22"/>
          <w:szCs w:val="23"/>
        </w:rPr>
        <w:t>week rotations.</w:t>
      </w:r>
      <w:r w:rsidRPr="00C02DC1">
        <w:rPr>
          <w:rFonts w:ascii="Arial" w:hAnsi="Arial" w:cs="Arial"/>
          <w:sz w:val="22"/>
          <w:szCs w:val="23"/>
        </w:rPr>
        <w:t xml:space="preserve"> This is the mechanism by which students evaluate and decide upon a thesis laboratory and by which faculty evaluate and recruit students.  At the end of each rotation, students present their rotation research to the UNC research community as a poster (rotation 1), written report (rotation 2)</w:t>
      </w:r>
      <w:r w:rsidR="00F970F5">
        <w:rPr>
          <w:rFonts w:ascii="Arial" w:hAnsi="Arial" w:cs="Arial"/>
          <w:sz w:val="22"/>
          <w:szCs w:val="23"/>
        </w:rPr>
        <w:t>,</w:t>
      </w:r>
      <w:r w:rsidRPr="00C02DC1">
        <w:rPr>
          <w:rFonts w:ascii="Arial" w:hAnsi="Arial" w:cs="Arial"/>
          <w:sz w:val="22"/>
          <w:szCs w:val="23"/>
        </w:rPr>
        <w:t xml:space="preserve"> or short talk (rotation 3). Students select a thesis laboratory in </w:t>
      </w:r>
      <w:r w:rsidR="0068743F">
        <w:rPr>
          <w:rFonts w:ascii="Arial" w:hAnsi="Arial" w:cs="Arial"/>
          <w:sz w:val="22"/>
          <w:szCs w:val="23"/>
        </w:rPr>
        <w:t>April</w:t>
      </w:r>
      <w:r w:rsidRPr="00C02DC1">
        <w:rPr>
          <w:rFonts w:ascii="Arial" w:hAnsi="Arial" w:cs="Arial"/>
          <w:sz w:val="22"/>
          <w:szCs w:val="23"/>
        </w:rPr>
        <w:t xml:space="preserve">, after the third rotation. To support first-year students in their choice of laboratory rotations, information sessions are conducted by each PhD program before classes start in the fall. </w:t>
      </w:r>
    </w:p>
    <w:p w:rsidR="0012544D" w:rsidRDefault="00B3750F" w:rsidP="0012544D">
      <w:pPr>
        <w:spacing w:after="120"/>
        <w:rPr>
          <w:rFonts w:ascii="Arial" w:hAnsi="Arial" w:cs="Arial"/>
          <w:sz w:val="22"/>
          <w:szCs w:val="23"/>
        </w:rPr>
      </w:pPr>
      <w:r>
        <w:rPr>
          <w:rFonts w:ascii="Arial" w:hAnsi="Arial" w:cs="Arial"/>
          <w:sz w:val="22"/>
          <w:szCs w:val="23"/>
          <w:u w:val="single"/>
        </w:rPr>
        <w:t>Quantitative Skills Enrichment</w:t>
      </w:r>
      <w:r w:rsidR="0012544D" w:rsidRPr="00C02DC1">
        <w:rPr>
          <w:rFonts w:ascii="Arial" w:hAnsi="Arial" w:cs="Arial"/>
          <w:sz w:val="22"/>
          <w:szCs w:val="23"/>
          <w:u w:val="single"/>
        </w:rPr>
        <w:t>:</w:t>
      </w:r>
      <w:r w:rsidR="0012544D" w:rsidRPr="00C02DC1">
        <w:rPr>
          <w:rFonts w:ascii="Arial" w:hAnsi="Arial" w:cs="Arial"/>
          <w:sz w:val="22"/>
          <w:szCs w:val="23"/>
        </w:rPr>
        <w:t xml:space="preserve"> BBSP students </w:t>
      </w:r>
      <w:r w:rsidR="00F970F5">
        <w:rPr>
          <w:rFonts w:ascii="Arial" w:hAnsi="Arial" w:cs="Arial"/>
          <w:sz w:val="22"/>
          <w:szCs w:val="23"/>
        </w:rPr>
        <w:t xml:space="preserve">are required to complete lessons on </w:t>
      </w:r>
      <w:r w:rsidR="0012544D">
        <w:rPr>
          <w:rFonts w:ascii="Arial" w:hAnsi="Arial" w:cs="Arial"/>
          <w:sz w:val="22"/>
          <w:szCs w:val="23"/>
        </w:rPr>
        <w:t xml:space="preserve">biostatistics </w:t>
      </w:r>
      <w:r w:rsidR="00F970F5">
        <w:rPr>
          <w:rFonts w:ascii="Arial" w:hAnsi="Arial" w:cs="Arial"/>
          <w:sz w:val="22"/>
          <w:szCs w:val="23"/>
        </w:rPr>
        <w:t xml:space="preserve">and rigor and reproducibility </w:t>
      </w:r>
      <w:r w:rsidR="0012544D">
        <w:rPr>
          <w:rFonts w:ascii="Arial" w:hAnsi="Arial" w:cs="Arial"/>
          <w:sz w:val="22"/>
          <w:szCs w:val="23"/>
        </w:rPr>
        <w:t>within their FY</w:t>
      </w:r>
      <w:r w:rsidR="00F970F5">
        <w:rPr>
          <w:rFonts w:ascii="Arial" w:hAnsi="Arial" w:cs="Arial"/>
          <w:sz w:val="22"/>
          <w:szCs w:val="23"/>
        </w:rPr>
        <w:t>G</w:t>
      </w:r>
      <w:r w:rsidR="0012544D" w:rsidRPr="00C02DC1">
        <w:rPr>
          <w:rFonts w:ascii="Arial" w:hAnsi="Arial" w:cs="Arial"/>
          <w:sz w:val="22"/>
          <w:szCs w:val="23"/>
        </w:rPr>
        <w:t xml:space="preserve">.  This course is led by </w:t>
      </w:r>
      <w:r w:rsidR="0012544D">
        <w:rPr>
          <w:rFonts w:ascii="Arial" w:hAnsi="Arial" w:cs="Arial"/>
          <w:sz w:val="22"/>
          <w:szCs w:val="23"/>
        </w:rPr>
        <w:t xml:space="preserve">instructors </w:t>
      </w:r>
      <w:r w:rsidR="0068743F">
        <w:rPr>
          <w:rFonts w:ascii="Arial" w:hAnsi="Arial" w:cs="Arial"/>
          <w:sz w:val="22"/>
          <w:szCs w:val="23"/>
        </w:rPr>
        <w:t>UNC SOM departments</w:t>
      </w:r>
      <w:r w:rsidR="0012544D" w:rsidRPr="00C02DC1">
        <w:rPr>
          <w:rFonts w:ascii="Arial" w:hAnsi="Arial" w:cs="Arial"/>
          <w:sz w:val="22"/>
          <w:szCs w:val="23"/>
        </w:rPr>
        <w:t xml:space="preserve"> and covers statistical analysis skills for both continuous and discrete experimental outcomes found to be generally required in all dissertation research. </w:t>
      </w:r>
    </w:p>
    <w:p w:rsidR="0012544D" w:rsidRPr="00C02DC1" w:rsidRDefault="0012544D" w:rsidP="0012544D">
      <w:pPr>
        <w:spacing w:after="120"/>
        <w:rPr>
          <w:rFonts w:ascii="Arial" w:hAnsi="Arial" w:cs="Arial"/>
          <w:sz w:val="22"/>
          <w:szCs w:val="23"/>
        </w:rPr>
      </w:pPr>
      <w:r w:rsidRPr="00C02DC1">
        <w:rPr>
          <w:rFonts w:ascii="Arial" w:hAnsi="Arial" w:cs="Arial"/>
          <w:b/>
          <w:sz w:val="22"/>
          <w:szCs w:val="23"/>
        </w:rPr>
        <w:t xml:space="preserve">BBSP Financial Support.  </w:t>
      </w:r>
      <w:r w:rsidRPr="00C02DC1">
        <w:rPr>
          <w:rFonts w:ascii="Arial" w:hAnsi="Arial" w:cs="Arial"/>
          <w:sz w:val="22"/>
          <w:szCs w:val="23"/>
        </w:rPr>
        <w:t xml:space="preserve">Funds for administration, recruitment and first year support (i.e. stipend, tuition, health insurance) come from intramural sources in the School of Medicine, the College of Arts and Sciences and from an annual “payback” mechanism in which each of the participating departments and centers contribute based on the number of students that matriculate in a particular unit.  Once students join a lab in year two they are supported by individual principal investigators or by training grants, such as the one we propose. The first year financial support of students by BBSP is advantageous to our process of selecting students for the training program. It enables a competitive selection process to identify the best students for T32 support by taking into account performance from the first year of graduate school.  </w:t>
      </w:r>
      <w:r w:rsidRPr="00C02DC1">
        <w:rPr>
          <w:rFonts w:ascii="Arial" w:hAnsi="Arial" w:cs="Arial"/>
          <w:sz w:val="22"/>
          <w:szCs w:val="23"/>
          <w:u w:val="single"/>
        </w:rPr>
        <w:t xml:space="preserve">It also allows us to support those students that are most interested in </w:t>
      </w:r>
      <w:proofErr w:type="spellStart"/>
      <w:r w:rsidR="003A490C" w:rsidRPr="003A490C">
        <w:rPr>
          <w:rFonts w:ascii="Arial" w:hAnsi="Arial" w:cs="Arial"/>
          <w:sz w:val="22"/>
          <w:szCs w:val="23"/>
          <w:highlight w:val="yellow"/>
          <w:u w:val="single"/>
        </w:rPr>
        <w:t>xxxxx</w:t>
      </w:r>
      <w:proofErr w:type="spellEnd"/>
      <w:r w:rsidRPr="00C02DC1">
        <w:rPr>
          <w:rFonts w:ascii="Arial" w:hAnsi="Arial" w:cs="Arial"/>
          <w:sz w:val="22"/>
          <w:szCs w:val="23"/>
          <w:u w:val="single"/>
        </w:rPr>
        <w:t xml:space="preserve"> </w:t>
      </w:r>
      <w:r w:rsidRPr="00C02DC1">
        <w:rPr>
          <w:rFonts w:ascii="Arial" w:hAnsi="Arial" w:cs="Arial"/>
          <w:i/>
          <w:sz w:val="22"/>
          <w:szCs w:val="23"/>
          <w:u w:val="single"/>
        </w:rPr>
        <w:t>per se</w:t>
      </w:r>
      <w:r w:rsidRPr="00C02DC1">
        <w:rPr>
          <w:rFonts w:ascii="Arial" w:hAnsi="Arial" w:cs="Arial"/>
          <w:sz w:val="22"/>
          <w:szCs w:val="23"/>
        </w:rPr>
        <w:t xml:space="preserve">, because second year students have completed a year of graduate school and have decided on the area of research to pursue for their thesis work. With first year support, even with the best of intentions, it is not always possible to make the most appropriate selections with respect to these two issues.  </w:t>
      </w:r>
    </w:p>
    <w:p w:rsidR="00D77343" w:rsidRPr="0012544D" w:rsidRDefault="00D77343" w:rsidP="0012544D"/>
    <w:sectPr w:rsidR="00D77343" w:rsidRPr="0012544D" w:rsidSect="001D201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4D"/>
    <w:rsid w:val="000871C3"/>
    <w:rsid w:val="0012544D"/>
    <w:rsid w:val="001D201E"/>
    <w:rsid w:val="002E1A88"/>
    <w:rsid w:val="00322A89"/>
    <w:rsid w:val="003A490C"/>
    <w:rsid w:val="00464B46"/>
    <w:rsid w:val="004A2118"/>
    <w:rsid w:val="004E35B7"/>
    <w:rsid w:val="0068743F"/>
    <w:rsid w:val="006B4560"/>
    <w:rsid w:val="006D316E"/>
    <w:rsid w:val="007A387D"/>
    <w:rsid w:val="007F43B2"/>
    <w:rsid w:val="008C4084"/>
    <w:rsid w:val="00AB6D1E"/>
    <w:rsid w:val="00AE7B4F"/>
    <w:rsid w:val="00B3750F"/>
    <w:rsid w:val="00B80974"/>
    <w:rsid w:val="00BF7220"/>
    <w:rsid w:val="00CD2F7C"/>
    <w:rsid w:val="00CD69EF"/>
    <w:rsid w:val="00D77343"/>
    <w:rsid w:val="00EB47E9"/>
    <w:rsid w:val="00F970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4A73D9F"/>
  <w15:chartTrackingRefBased/>
  <w15:docId w15:val="{EA162AD2-055D-4A96-8F66-5F244ACA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4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1477"/>
    <w:pPr>
      <w:spacing w:after="200"/>
    </w:pPr>
    <w:rPr>
      <w:rFonts w:ascii="Lucida Grande" w:eastAsia="Cambria" w:hAnsi="Lucida Grande"/>
      <w:sz w:val="18"/>
      <w:szCs w:val="18"/>
    </w:rPr>
  </w:style>
  <w:style w:type="paragraph" w:styleId="Header">
    <w:name w:val="header"/>
    <w:basedOn w:val="Normal"/>
    <w:link w:val="HeaderChar"/>
    <w:rsid w:val="0012544D"/>
    <w:pPr>
      <w:tabs>
        <w:tab w:val="center" w:pos="4320"/>
        <w:tab w:val="right" w:pos="8640"/>
      </w:tabs>
      <w:autoSpaceDE w:val="0"/>
      <w:autoSpaceDN w:val="0"/>
    </w:pPr>
    <w:rPr>
      <w:rFonts w:ascii="Times" w:hAnsi="Times" w:cs="Times"/>
    </w:rPr>
  </w:style>
  <w:style w:type="character" w:customStyle="1" w:styleId="HeaderChar">
    <w:name w:val="Header Char"/>
    <w:link w:val="Header"/>
    <w:rsid w:val="0012544D"/>
    <w:rPr>
      <w:rFonts w:ascii="Times" w:eastAsia="Times New Roman" w:hAnsi="Times" w:cs="Times"/>
      <w:sz w:val="24"/>
      <w:szCs w:val="24"/>
    </w:rPr>
  </w:style>
  <w:style w:type="table" w:styleId="TableGrid">
    <w:name w:val="Table Grid"/>
    <w:basedOn w:val="TableNormal"/>
    <w:rsid w:val="00B809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99250">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 u</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miller</dc:creator>
  <cp:keywords/>
  <cp:lastModifiedBy>Mcdonald, Dave</cp:lastModifiedBy>
  <cp:revision>4</cp:revision>
  <dcterms:created xsi:type="dcterms:W3CDTF">2020-04-21T20:01:00Z</dcterms:created>
  <dcterms:modified xsi:type="dcterms:W3CDTF">2020-04-21T20:10:00Z</dcterms:modified>
</cp:coreProperties>
</file>